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1254760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278765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27, 2026</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139700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COCA-COLA EUROPACIFIC PARTNERS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320675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Pemberton House, Bakers Road</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Uxbridge, UB8 1EZ, United Kingdom</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6" w:lineRule="exact"/>
        <w:rPr>
          <w:sz w:val="24"/>
          <w:szCs w:val="24"/>
          <w:color w:val="auto"/>
        </w:rPr>
      </w:pPr>
    </w:p>
    <w:p>
      <w:pPr>
        <w:jc w:val="center"/>
        <w:ind w:right="1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(Check One)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186055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355" w:lineRule="exact"/>
        <w:rPr>
          <w:sz w:val="20"/>
          <w:szCs w:val="20"/>
          <w:color w:val="auto"/>
        </w:rPr>
      </w:pPr>
    </w:p>
    <w:p>
      <w:pPr>
        <w:jc w:val="center"/>
        <w:ind w:left="2720" w:right="1700"/>
        <w:spacing w:after="0" w:line="383" w:lineRule="auto"/>
        <w:rPr>
          <w:sz w:val="20"/>
          <w:szCs w:val="20"/>
          <w:color w:val="auto"/>
        </w:rPr>
      </w:pPr>
      <w:r>
        <w:rPr>
          <w:rFonts w:ascii="Arial" w:cs="Arial" w:eastAsia="Arial" w:hAnsi="Arial"/>
          <w:sz w:val="18"/>
          <w:szCs w:val="18"/>
          <w:b w:val="1"/>
          <w:bCs w:val="1"/>
          <w:color w:val="auto"/>
        </w:rPr>
        <w:t>List identifying information required to be furnished by Coca-Cola Europacific Partners plc pursuant to Rule 13a-16 or 15d-16 of The Securities Exchange Act</w:t>
      </w:r>
    </w:p>
    <w:p>
      <w:pPr>
        <w:sectPr>
          <w:pgSz w:w="11900" w:h="16838" w:orient="portrait"/>
          <w:cols w:equalWidth="0" w:num="1">
            <w:col w:w="10060"/>
          </w:cols>
          <w:pgMar w:left="400" w:top="1440" w:right="1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Public announcements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27, 2026</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Required by</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FCA's Disclosure Guidance and Transparency Rules</w:t>
      </w:r>
    </w:p>
    <w:p>
      <w:pPr>
        <w:spacing w:after="0" w:line="200" w:lineRule="exact"/>
        <w:rPr>
          <w:sz w:val="20"/>
          <w:szCs w:val="20"/>
          <w:color w:val="auto"/>
        </w:rPr>
      </w:pPr>
    </w:p>
    <w:p>
      <w:pPr>
        <w:sectPr>
          <w:pgSz w:w="11900" w:h="16838" w:orient="portrait"/>
          <w:cols w:equalWidth="0" w:num="2">
            <w:col w:w="4240" w:space="720"/>
            <w:col w:w="5100"/>
          </w:cols>
          <w:pgMar w:left="400" w:top="1440" w:right="14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Announcement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of Matter</w:t>
      </w:r>
    </w:p>
    <w:p>
      <w:pPr>
        <w:spacing w:after="0" w:line="51" w:lineRule="exact"/>
        <w:rPr>
          <w:sz w:val="20"/>
          <w:szCs w:val="20"/>
          <w:color w:val="auto"/>
        </w:rPr>
      </w:pPr>
    </w:p>
    <w:p>
      <w:pPr>
        <w:sectPr>
          <w:pgSz w:w="11900" w:h="16838" w:orient="portrait"/>
          <w:cols w:equalWidth="0" w:num="2">
            <w:col w:w="5140" w:space="720"/>
            <w:col w:w="4200"/>
          </w:cols>
          <w:pgMar w:left="400" w:top="1440" w:right="1439" w:bottom="1440" w:gutter="0" w:footer="0" w:header="0"/>
          <w:type w:val="continuous"/>
        </w:sectPr>
      </w:pPr>
    </w:p>
    <w:p>
      <w:pPr>
        <w:spacing w:after="0"/>
        <w:rPr>
          <w:sz w:val="20"/>
          <w:szCs w:val="20"/>
          <w:color w:val="auto"/>
        </w:rPr>
      </w:pPr>
      <w:r>
        <w:rPr>
          <w:rFonts w:ascii="Arial" w:cs="Arial" w:eastAsia="Arial" w:hAnsi="Arial"/>
          <w:sz w:val="17"/>
          <w:szCs w:val="17"/>
          <w:color w:val="auto"/>
        </w:rPr>
        <w:t>Transactions in Own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April 27, 2026</w:t>
      </w:r>
    </w:p>
    <w:p>
      <w:pPr>
        <w:spacing w:after="0" w:line="200" w:lineRule="exact"/>
        <w:rPr>
          <w:sz w:val="20"/>
          <w:szCs w:val="20"/>
          <w:color w:val="auto"/>
        </w:rPr>
      </w:pPr>
    </w:p>
    <w:p>
      <w:pPr>
        <w:sectPr>
          <w:pgSz w:w="11900" w:h="16838" w:orient="portrait"/>
          <w:cols w:equalWidth="0" w:num="2">
            <w:col w:w="5140" w:space="720"/>
            <w:col w:w="4200"/>
          </w:cols>
          <w:pgMar w:left="400" w:top="144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060"/>
          </w:cols>
          <w:pgMar w:left="400" w:top="1440" w:right="1439" w:bottom="1440" w:gutter="0" w:footer="0" w:header="0"/>
          <w:type w:val="continuous"/>
        </w:sectPr>
      </w:pPr>
    </w:p>
    <w:bookmarkStart w:id="2" w:name="page3"/>
    <w:bookmarkEnd w:id="2"/>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0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April 27, 2026</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Coca-Cola Europacific Partners plc (the “Company”)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Transactions in Own Shares</w:t>
      </w:r>
    </w:p>
    <w:p>
      <w:pPr>
        <w:spacing w:after="0" w:line="198" w:lineRule="exact"/>
        <w:rPr>
          <w:sz w:val="20"/>
          <w:szCs w:val="20"/>
          <w:color w:val="auto"/>
        </w:rPr>
      </w:pPr>
    </w:p>
    <w:p>
      <w:pPr>
        <w:ind w:right="20"/>
        <w:spacing w:after="0" w:line="206" w:lineRule="auto"/>
        <w:rPr>
          <w:sz w:val="20"/>
          <w:szCs w:val="20"/>
          <w:color w:val="auto"/>
        </w:rPr>
      </w:pPr>
      <w:r>
        <w:rPr>
          <w:rFonts w:ascii="Arial" w:cs="Arial" w:eastAsia="Arial" w:hAnsi="Arial"/>
          <w:sz w:val="20"/>
          <w:szCs w:val="20"/>
          <w:color w:val="auto"/>
        </w:rPr>
        <w:t>The Company confirms that from 20 April 2026 up to and including 24 April 2026 it purchased a total of: (i) 1,290,670 ordinary shares of EUR 0.01 ("</w:t>
      </w:r>
      <w:r>
        <w:rPr>
          <w:rFonts w:ascii="Arial" w:cs="Arial" w:eastAsia="Arial" w:hAnsi="Arial"/>
          <w:sz w:val="20"/>
          <w:szCs w:val="20"/>
          <w:b w:val="1"/>
          <w:bCs w:val="1"/>
          <w:color w:val="auto"/>
        </w:rPr>
        <w:t>ordinary shares</w:t>
      </w:r>
      <w:r>
        <w:rPr>
          <w:rFonts w:ascii="Arial" w:cs="Arial" w:eastAsia="Arial" w:hAnsi="Arial"/>
          <w:sz w:val="20"/>
          <w:szCs w:val="20"/>
          <w:color w:val="auto"/>
        </w:rPr>
        <w:t>") on the US Trading Venues</w:t>
      </w:r>
      <w:r>
        <w:rPr>
          <w:rFonts w:ascii="Arial" w:cs="Arial" w:eastAsia="Arial" w:hAnsi="Arial"/>
          <w:sz w:val="25"/>
          <w:szCs w:val="25"/>
          <w:b w:val="1"/>
          <w:bCs w:val="1"/>
          <w:color w:val="auto"/>
          <w:vertAlign w:val="superscript"/>
        </w:rPr>
        <w:t>[1]</w:t>
      </w:r>
      <w:r>
        <w:rPr>
          <w:rFonts w:ascii="Arial" w:cs="Arial" w:eastAsia="Arial" w:hAnsi="Arial"/>
          <w:sz w:val="20"/>
          <w:szCs w:val="20"/>
          <w:color w:val="auto"/>
        </w:rPr>
        <w:t xml:space="preserve"> and (ii) 1,240 ordinary shares on the London Trading</w:t>
      </w:r>
    </w:p>
    <w:p>
      <w:pPr>
        <w:spacing w:after="0" w:line="1" w:lineRule="exact"/>
        <w:rPr>
          <w:sz w:val="20"/>
          <w:szCs w:val="20"/>
          <w:color w:val="auto"/>
        </w:rPr>
      </w:pPr>
    </w:p>
    <w:p>
      <w:pPr>
        <w:ind w:right="20"/>
        <w:spacing w:after="0" w:line="208" w:lineRule="auto"/>
        <w:rPr>
          <w:sz w:val="20"/>
          <w:szCs w:val="20"/>
          <w:color w:val="auto"/>
        </w:rPr>
      </w:pPr>
      <w:r>
        <w:rPr>
          <w:rFonts w:ascii="Arial" w:cs="Arial" w:eastAsia="Arial" w:hAnsi="Arial"/>
          <w:sz w:val="20"/>
          <w:szCs w:val="20"/>
          <w:color w:val="auto"/>
        </w:rPr>
        <w:t>Venues</w:t>
      </w:r>
      <w:r>
        <w:rPr>
          <w:rFonts w:ascii="Arial" w:cs="Arial" w:eastAsia="Arial" w:hAnsi="Arial"/>
          <w:sz w:val="25"/>
          <w:szCs w:val="25"/>
          <w:b w:val="1"/>
          <w:bCs w:val="1"/>
          <w:color w:val="auto"/>
          <w:vertAlign w:val="superscript"/>
        </w:rPr>
        <w:t>[2]</w:t>
      </w:r>
      <w:r>
        <w:rPr>
          <w:rFonts w:ascii="Arial" w:cs="Arial" w:eastAsia="Arial" w:hAnsi="Arial"/>
          <w:sz w:val="20"/>
          <w:szCs w:val="20"/>
          <w:color w:val="auto"/>
        </w:rPr>
        <w:t>; in both cases, from Goldman Sachs &amp; Co. LLC, Goldman Sachs International or one of their affiliates, as detailed below.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repurchased ordinary shares will be cancelled.</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Date</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Aggregate number</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Highest price paid</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Lowest price paid</w:t>
            </w: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Volume weighted</w:t>
            </w:r>
          </w:p>
        </w:tc>
        <w:tc>
          <w:tcPr>
            <w:tcW w:w="2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Trading venue</w:t>
            </w:r>
          </w:p>
        </w:tc>
        <w:tc>
          <w:tcPr>
            <w:tcW w:w="0" w:type="dxa"/>
            <w:vAlign w:val="bottom"/>
          </w:tcPr>
          <w:p>
            <w:pPr>
              <w:spacing w:after="0"/>
              <w:rPr>
                <w:sz w:val="1"/>
                <w:szCs w:val="1"/>
                <w:color w:val="auto"/>
              </w:rPr>
            </w:pPr>
          </w:p>
        </w:tc>
      </w:tr>
      <w:tr>
        <w:trPr>
          <w:trHeight w:val="130"/>
        </w:trPr>
        <w:tc>
          <w:tcPr>
            <w:tcW w:w="1720" w:type="dxa"/>
            <w:vAlign w:val="bottom"/>
            <w:tcBorders>
              <w:left w:val="single" w:sz="8" w:color="auto"/>
              <w:right w:val="single" w:sz="8" w:color="auto"/>
            </w:tcBorders>
            <w:vMerge w:val="continue"/>
          </w:tcPr>
          <w:p>
            <w:pPr>
              <w:spacing w:after="0"/>
              <w:rPr>
                <w:sz w:val="11"/>
                <w:szCs w:val="11"/>
                <w:color w:val="auto"/>
              </w:rPr>
            </w:pPr>
          </w:p>
        </w:tc>
        <w:tc>
          <w:tcPr>
            <w:tcW w:w="17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5"/>
                <w:szCs w:val="15"/>
                <w:b w:val="1"/>
                <w:bCs w:val="1"/>
                <w:color w:val="auto"/>
              </w:rPr>
              <w:t>of ordinary shares</w:t>
            </w:r>
          </w:p>
        </w:tc>
        <w:tc>
          <w:tcPr>
            <w:tcW w:w="17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5"/>
                <w:szCs w:val="15"/>
                <w:b w:val="1"/>
                <w:bCs w:val="1"/>
                <w:color w:val="auto"/>
              </w:rPr>
              <w:t>(per ordinary</w:t>
            </w:r>
          </w:p>
        </w:tc>
        <w:tc>
          <w:tcPr>
            <w:tcW w:w="17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5"/>
                <w:szCs w:val="15"/>
                <w:b w:val="1"/>
                <w:bCs w:val="1"/>
                <w:color w:val="auto"/>
              </w:rPr>
              <w:t>(per ordinary</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average price</w:t>
            </w:r>
          </w:p>
        </w:tc>
        <w:tc>
          <w:tcPr>
            <w:tcW w:w="27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20" w:type="dxa"/>
            <w:vAlign w:val="bottom"/>
            <w:tcBorders>
              <w:left w:val="single" w:sz="8" w:color="auto"/>
              <w:right w:val="single" w:sz="8" w:color="auto"/>
            </w:tcBorders>
          </w:tcPr>
          <w:p>
            <w:pPr>
              <w:spacing w:after="0"/>
              <w:rPr>
                <w:sz w:val="12"/>
                <w:szCs w:val="12"/>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purchased</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share)</w:t>
            </w:r>
          </w:p>
        </w:tc>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share)</w:t>
            </w:r>
          </w:p>
        </w:tc>
        <w:tc>
          <w:tcPr>
            <w:tcW w:w="1560" w:type="dxa"/>
            <w:vAlign w:val="bottom"/>
            <w:tcBorders>
              <w:right w:val="single" w:sz="8" w:color="auto"/>
            </w:tcBorders>
            <w:vMerge w:val="continue"/>
          </w:tcPr>
          <w:p>
            <w:pPr>
              <w:spacing w:after="0"/>
              <w:rPr>
                <w:sz w:val="12"/>
                <w:szCs w:val="12"/>
                <w:color w:val="auto"/>
              </w:rPr>
            </w:pPr>
          </w:p>
        </w:tc>
        <w:tc>
          <w:tcPr>
            <w:tcW w:w="2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1760" w:type="dxa"/>
            <w:vAlign w:val="bottom"/>
            <w:tcBorders>
              <w:bottom w:val="single" w:sz="8" w:color="auto"/>
              <w:right w:val="single" w:sz="8" w:color="auto"/>
            </w:tcBorders>
            <w:vMerge w:val="continue"/>
          </w:tcPr>
          <w:p>
            <w:pPr>
              <w:spacing w:after="0"/>
              <w:rPr>
                <w:sz w:val="10"/>
                <w:szCs w:val="10"/>
                <w:color w:val="auto"/>
              </w:rPr>
            </w:pPr>
          </w:p>
        </w:tc>
        <w:tc>
          <w:tcPr>
            <w:tcW w:w="1740" w:type="dxa"/>
            <w:vAlign w:val="bottom"/>
            <w:tcBorders>
              <w:bottom w:val="single" w:sz="8" w:color="auto"/>
              <w:right w:val="single" w:sz="8" w:color="auto"/>
            </w:tcBorders>
            <w:vMerge w:val="continue"/>
          </w:tcPr>
          <w:p>
            <w:pPr>
              <w:spacing w:after="0"/>
              <w:rPr>
                <w:sz w:val="10"/>
                <w:szCs w:val="10"/>
                <w:color w:val="auto"/>
              </w:rPr>
            </w:pPr>
          </w:p>
        </w:tc>
        <w:tc>
          <w:tcPr>
            <w:tcW w:w="174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2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 April 2026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10,000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98.8100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97.1200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USD 97.9672</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 Trading Venues</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 April 2026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1,240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GBP 72.9500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GBP 72.4500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GBP 72.8219</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London Stock Exchange</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21 April 2026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405,100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96.9300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96.0000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USD 96.4203</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 Trading Venues</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22 April 2026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470,646</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97.0400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96.0900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USD 96.5019</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 Trading Venues</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23 April 2026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19,213</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97.0000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96.5400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USD 96.9748</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 Trading Venues</w:t>
            </w: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24 April 2026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385,711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98.3800</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USD 97.5300</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USD 97.9083</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US Trading Venues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The purchases form part of the Company's share buyback programme announced on 17 February 2026 (the "</w:t>
      </w:r>
      <w:r>
        <w:rPr>
          <w:rFonts w:ascii="Arial" w:cs="Arial" w:eastAsia="Arial" w:hAnsi="Arial"/>
          <w:sz w:val="20"/>
          <w:szCs w:val="20"/>
          <w:b w:val="1"/>
          <w:bCs w:val="1"/>
          <w:color w:val="auto"/>
        </w:rPr>
        <w:t>Programme</w:t>
      </w:r>
      <w:r>
        <w:rPr>
          <w:rFonts w:ascii="Arial" w:cs="Arial" w:eastAsia="Arial" w:hAnsi="Arial"/>
          <w:sz w:val="20"/>
          <w:szCs w:val="20"/>
          <w:color w:val="auto"/>
        </w:rPr>
        <w:t>"). In connection with the Programme, the Company expects to repurchase up to EUR 1 billion of ordinary shares (in aggregate).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Programme Update</w:t>
      </w:r>
    </w:p>
    <w:p>
      <w:pPr>
        <w:spacing w:after="0" w:line="231"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auto"/>
        </w:rPr>
        <w:t>The Company today announces that the first tranche of the Programme, which the Company announced on 17 February 2026, completed on 24 April 2026 (acquiring in total 5,873,426 ordinary shares for total consideration of €499,992,581). Any further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tranches of the Programme will be announced in due course.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This announcement does not constitute, or form part of, an offer or solicitation of an offer for securities in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440" w:right="319" w:bottom="1440" w:gutter="0" w:footer="0" w:header="0"/>
        </w:sectPr>
      </w:pPr>
    </w:p>
    <w:bookmarkStart w:id="3" w:name="page4"/>
    <w:bookmarkEnd w:id="3"/>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08405" cy="814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8405" cy="814705"/>
                    </a:xfrm>
                    <a:prstGeom prst="rect">
                      <a:avLst/>
                    </a:prstGeom>
                    <a:noFill/>
                  </pic:spPr>
                </pic:pic>
              </a:graphicData>
            </a:graphic>
          </wp:anchor>
        </w:drawing>
      </w:r>
    </w:p>
    <w:p>
      <w:pPr>
        <w:ind w:right="380"/>
        <w:spacing w:after="0" w:line="286" w:lineRule="auto"/>
        <w:rPr>
          <w:sz w:val="20"/>
          <w:szCs w:val="20"/>
          <w:color w:val="auto"/>
        </w:rPr>
      </w:pPr>
      <w:r>
        <w:rPr>
          <w:rFonts w:ascii="Arial" w:cs="Arial" w:eastAsia="Arial" w:hAnsi="Arial"/>
          <w:sz w:val="20"/>
          <w:szCs w:val="20"/>
          <w:color w:val="auto"/>
        </w:rPr>
        <w:t>In accordance with Article 5(1)(b) of Regulation (EU) No 596/2014 as it applies in the UK (the Market Abuse Regulation), full details of the transactions, in aggregated and detailed form, are available through the link below:</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http://www.rns-pdf.londonstockexchange.com/rns/0750C_1-2026-4-27.pdf</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040" w:type="dxa"/>
            <w:vAlign w:val="bottom"/>
          </w:tcPr>
          <w:p>
            <w:pPr>
              <w:spacing w:after="0"/>
              <w:rPr>
                <w:sz w:val="20"/>
                <w:szCs w:val="20"/>
                <w:color w:val="auto"/>
              </w:rPr>
            </w:pPr>
            <w:r>
              <w:rPr>
                <w:rFonts w:ascii="Arial" w:cs="Arial" w:eastAsia="Arial" w:hAnsi="Arial"/>
                <w:sz w:val="22"/>
                <w:szCs w:val="22"/>
                <w:b w:val="1"/>
                <w:bCs w:val="1"/>
                <w:color w:val="auto"/>
              </w:rPr>
              <w:t>CONTACTS</w:t>
            </w:r>
          </w:p>
        </w:tc>
        <w:tc>
          <w:tcPr>
            <w:tcW w:w="32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86"/>
        </w:trPr>
        <w:tc>
          <w:tcPr>
            <w:tcW w:w="3040" w:type="dxa"/>
            <w:vAlign w:val="bottom"/>
          </w:tcPr>
          <w:p>
            <w:pPr>
              <w:ind w:left="20"/>
              <w:spacing w:after="0"/>
              <w:rPr>
                <w:sz w:val="20"/>
                <w:szCs w:val="20"/>
                <w:color w:val="auto"/>
              </w:rPr>
            </w:pPr>
            <w:r>
              <w:rPr>
                <w:rFonts w:ascii="Arial" w:cs="Arial" w:eastAsia="Arial" w:hAnsi="Arial"/>
                <w:sz w:val="22"/>
                <w:szCs w:val="22"/>
                <w:b w:val="1"/>
                <w:bCs w:val="1"/>
                <w:color w:val="auto"/>
              </w:rPr>
              <w:t>Company Secretariat</w:t>
            </w:r>
          </w:p>
        </w:tc>
        <w:tc>
          <w:tcPr>
            <w:tcW w:w="3220" w:type="dxa"/>
            <w:vAlign w:val="bottom"/>
          </w:tcPr>
          <w:p>
            <w:pPr>
              <w:ind w:left="380"/>
              <w:spacing w:after="0"/>
              <w:rPr>
                <w:sz w:val="20"/>
                <w:szCs w:val="20"/>
                <w:color w:val="auto"/>
              </w:rPr>
            </w:pPr>
            <w:r>
              <w:rPr>
                <w:rFonts w:ascii="Arial" w:cs="Arial" w:eastAsia="Arial" w:hAnsi="Arial"/>
                <w:sz w:val="22"/>
                <w:szCs w:val="22"/>
                <w:b w:val="1"/>
                <w:bCs w:val="1"/>
                <w:color w:val="auto"/>
              </w:rPr>
              <w:t>Investor Relations</w:t>
            </w:r>
          </w:p>
        </w:tc>
        <w:tc>
          <w:tcPr>
            <w:tcW w:w="3160" w:type="dxa"/>
            <w:vAlign w:val="bottom"/>
          </w:tcPr>
          <w:p>
            <w:pPr>
              <w:ind w:left="560"/>
              <w:spacing w:after="0"/>
              <w:rPr>
                <w:sz w:val="20"/>
                <w:szCs w:val="20"/>
                <w:color w:val="auto"/>
              </w:rPr>
            </w:pPr>
            <w:r>
              <w:rPr>
                <w:rFonts w:ascii="Arial" w:cs="Arial" w:eastAsia="Arial" w:hAnsi="Arial"/>
                <w:sz w:val="22"/>
                <w:szCs w:val="22"/>
                <w:b w:val="1"/>
                <w:bCs w:val="1"/>
                <w:color w:val="auto"/>
              </w:rPr>
              <w:t>Media Relations</w:t>
            </w:r>
          </w:p>
        </w:tc>
      </w:tr>
      <w:tr>
        <w:trPr>
          <w:trHeight w:val="245"/>
        </w:trPr>
        <w:tc>
          <w:tcPr>
            <w:tcW w:w="3040" w:type="dxa"/>
            <w:vAlign w:val="bottom"/>
          </w:tcPr>
          <w:p>
            <w:pPr>
              <w:ind w:left="20"/>
              <w:spacing w:after="0" w:line="245" w:lineRule="exact"/>
              <w:rPr>
                <w:sz w:val="20"/>
                <w:szCs w:val="20"/>
                <w:color w:val="auto"/>
              </w:rPr>
            </w:pPr>
            <w:r>
              <w:rPr>
                <w:rFonts w:ascii="Arial" w:cs="Arial" w:eastAsia="Arial" w:hAnsi="Arial"/>
                <w:sz w:val="22"/>
                <w:szCs w:val="22"/>
                <w:b w:val="1"/>
                <w:bCs w:val="1"/>
                <w:color w:val="auto"/>
              </w:rPr>
              <w:t>Svetlana Walker</w:t>
            </w:r>
          </w:p>
        </w:tc>
        <w:tc>
          <w:tcPr>
            <w:tcW w:w="3220" w:type="dxa"/>
            <w:vAlign w:val="bottom"/>
          </w:tcPr>
          <w:p>
            <w:pPr>
              <w:ind w:left="380"/>
              <w:spacing w:after="0" w:line="245" w:lineRule="exact"/>
              <w:rPr>
                <w:sz w:val="20"/>
                <w:szCs w:val="20"/>
                <w:color w:val="auto"/>
              </w:rPr>
            </w:pPr>
            <w:r>
              <w:rPr>
                <w:rFonts w:ascii="Arial" w:cs="Arial" w:eastAsia="Arial" w:hAnsi="Arial"/>
                <w:sz w:val="22"/>
                <w:szCs w:val="22"/>
                <w:b w:val="1"/>
                <w:bCs w:val="1"/>
                <w:color w:val="auto"/>
              </w:rPr>
              <w:t>Sarah Willett</w:t>
            </w:r>
          </w:p>
        </w:tc>
        <w:tc>
          <w:tcPr>
            <w:tcW w:w="3160" w:type="dxa"/>
            <w:vAlign w:val="bottom"/>
          </w:tcPr>
          <w:p>
            <w:pPr>
              <w:ind w:left="560"/>
              <w:spacing w:after="0" w:line="245" w:lineRule="exact"/>
              <w:rPr>
                <w:sz w:val="20"/>
                <w:szCs w:val="20"/>
                <w:color w:val="auto"/>
              </w:rPr>
            </w:pPr>
            <w:r>
              <w:rPr>
                <w:rFonts w:ascii="Arial" w:cs="Arial" w:eastAsia="Arial" w:hAnsi="Arial"/>
                <w:sz w:val="22"/>
                <w:szCs w:val="22"/>
                <w:b w:val="1"/>
                <w:bCs w:val="1"/>
                <w:color w:val="auto"/>
              </w:rPr>
              <w:t>Shanna Wendt</w:t>
            </w:r>
          </w:p>
        </w:tc>
      </w:tr>
      <w:tr>
        <w:trPr>
          <w:trHeight w:val="283"/>
        </w:trPr>
        <w:tc>
          <w:tcPr>
            <w:tcW w:w="3040" w:type="dxa"/>
            <w:vAlign w:val="bottom"/>
          </w:tcPr>
          <w:p>
            <w:pPr>
              <w:ind w:left="20"/>
              <w:spacing w:after="0"/>
              <w:rPr>
                <w:sz w:val="20"/>
                <w:szCs w:val="20"/>
                <w:color w:val="auto"/>
              </w:rPr>
            </w:pPr>
            <w:r>
              <w:rPr>
                <w:rFonts w:ascii="Arial" w:cs="Arial" w:eastAsia="Arial" w:hAnsi="Arial"/>
                <w:sz w:val="22"/>
                <w:szCs w:val="22"/>
                <w:color w:val="auto"/>
              </w:rPr>
              <w:t>svetlana.walker@ccep.com</w:t>
            </w:r>
          </w:p>
        </w:tc>
        <w:tc>
          <w:tcPr>
            <w:tcW w:w="3220" w:type="dxa"/>
            <w:vAlign w:val="bottom"/>
          </w:tcPr>
          <w:p>
            <w:pPr>
              <w:ind w:left="380"/>
              <w:spacing w:after="0"/>
              <w:rPr>
                <w:sz w:val="20"/>
                <w:szCs w:val="20"/>
                <w:color w:val="auto"/>
              </w:rPr>
            </w:pPr>
            <w:r>
              <w:rPr>
                <w:rFonts w:ascii="Arial" w:cs="Arial" w:eastAsia="Arial" w:hAnsi="Arial"/>
                <w:sz w:val="22"/>
                <w:szCs w:val="22"/>
                <w:color w:val="auto"/>
              </w:rPr>
              <w:t>sarah.willett@ccep.com</w:t>
            </w:r>
          </w:p>
        </w:tc>
        <w:tc>
          <w:tcPr>
            <w:tcW w:w="3160" w:type="dxa"/>
            <w:vAlign w:val="bottom"/>
          </w:tcPr>
          <w:p>
            <w:pPr>
              <w:ind w:left="560"/>
              <w:spacing w:after="0"/>
              <w:rPr>
                <w:sz w:val="20"/>
                <w:szCs w:val="20"/>
                <w:color w:val="auto"/>
              </w:rPr>
            </w:pPr>
            <w:r>
              <w:rPr>
                <w:rFonts w:ascii="Arial" w:cs="Arial" w:eastAsia="Arial" w:hAnsi="Arial"/>
                <w:sz w:val="22"/>
                <w:szCs w:val="22"/>
                <w:color w:val="auto"/>
                <w:w w:val="97"/>
              </w:rPr>
              <w:t>mediaenquiries@ccep.com</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CCEP</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Coca-Cola Europacific Partners is one of the world’s leading consumer goods companies. We make, move and sell some of the world’s most loved brands – serving nearly 600 million consumers and helping over 4 million customers across 31 countries grow.</w:t>
      </w:r>
    </w:p>
    <w:p>
      <w:pPr>
        <w:spacing w:after="0" w:line="192" w:lineRule="exact"/>
        <w:rPr>
          <w:sz w:val="20"/>
          <w:szCs w:val="20"/>
          <w:color w:val="auto"/>
        </w:rPr>
      </w:pPr>
    </w:p>
    <w:p>
      <w:pPr>
        <w:ind w:right="500"/>
        <w:spacing w:after="0" w:line="286" w:lineRule="auto"/>
        <w:rPr>
          <w:sz w:val="20"/>
          <w:szCs w:val="20"/>
          <w:color w:val="auto"/>
        </w:rPr>
      </w:pPr>
      <w:r>
        <w:rPr>
          <w:rFonts w:ascii="Arial" w:cs="Arial" w:eastAsia="Arial" w:hAnsi="Arial"/>
          <w:sz w:val="20"/>
          <w:szCs w:val="20"/>
          <w:color w:val="auto"/>
        </w:rPr>
        <w:t>We combine the strength and scale of a large, multi-national business with an expert, local knowledge of the customers we serve and communities we support.</w:t>
      </w:r>
    </w:p>
    <w:p>
      <w:pPr>
        <w:spacing w:after="0" w:line="167" w:lineRule="exact"/>
        <w:rPr>
          <w:sz w:val="20"/>
          <w:szCs w:val="20"/>
          <w:color w:val="auto"/>
        </w:rPr>
      </w:pPr>
    </w:p>
    <w:p>
      <w:pPr>
        <w:ind w:right="600"/>
        <w:spacing w:after="0" w:line="262" w:lineRule="auto"/>
        <w:rPr>
          <w:sz w:val="20"/>
          <w:szCs w:val="20"/>
          <w:color w:val="auto"/>
        </w:rPr>
      </w:pPr>
      <w:r>
        <w:rPr>
          <w:rFonts w:ascii="Arial" w:cs="Arial" w:eastAsia="Arial" w:hAnsi="Arial"/>
          <w:sz w:val="20"/>
          <w:szCs w:val="20"/>
          <w:color w:val="auto"/>
        </w:rPr>
        <w:t>The Company is currently listed on Euronext Amsterdam, NASDAQ, London Stock Exchange and on the Spanish Stock Exchanges, and a constituent of both the NASDAQ 100 and FTSE 100 indices, trading under the symbol CCEP (ISIN No. GB00BDCPN049).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about CCEP, please visit www.cocacolaep.com and follow CCEP on LinkedIn</w:t>
      </w:r>
    </w:p>
    <w:p>
      <w:pPr>
        <w:spacing w:after="0" w:line="200" w:lineRule="exact"/>
        <w:rPr>
          <w:sz w:val="20"/>
          <w:szCs w:val="20"/>
          <w:color w:val="auto"/>
        </w:rPr>
      </w:pPr>
    </w:p>
    <w:p>
      <w:pPr>
        <w:spacing w:after="0" w:line="298"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3"/>
          <w:szCs w:val="13"/>
          <w:b w:val="1"/>
          <w:bCs w:val="1"/>
          <w:color w:val="auto"/>
        </w:rPr>
      </w:pPr>
      <w:r>
        <w:rPr>
          <w:rFonts w:ascii="Arial" w:cs="Arial" w:eastAsia="Arial" w:hAnsi="Arial"/>
          <w:sz w:val="14"/>
          <w:szCs w:val="14"/>
          <w:color w:val="auto"/>
        </w:rPr>
        <w:t>The “US Trading Venues” comprise Nasdaq and other applicable US trading venues.</w:t>
      </w:r>
    </w:p>
    <w:p>
      <w:pPr>
        <w:spacing w:after="0" w:line="41" w:lineRule="exact"/>
        <w:rPr>
          <w:rFonts w:ascii="Arial" w:cs="Arial" w:eastAsia="Arial" w:hAnsi="Arial"/>
          <w:sz w:val="13"/>
          <w:szCs w:val="13"/>
          <w:b w:val="1"/>
          <w:bCs w:val="1"/>
          <w:color w:val="auto"/>
        </w:rPr>
      </w:pPr>
    </w:p>
    <w:p>
      <w:pPr>
        <w:ind w:right="440" w:firstLine="8"/>
        <w:spacing w:after="0" w:line="345" w:lineRule="auto"/>
        <w:tabs>
          <w:tab w:leader="none" w:pos="194" w:val="left"/>
        </w:tabs>
        <w:numPr>
          <w:ilvl w:val="0"/>
          <w:numId w:val="1"/>
        </w:numPr>
        <w:rPr>
          <w:rFonts w:ascii="Arial" w:cs="Arial" w:eastAsia="Arial" w:hAnsi="Arial"/>
          <w:sz w:val="13"/>
          <w:szCs w:val="13"/>
          <w:b w:val="1"/>
          <w:bCs w:val="1"/>
          <w:color w:val="auto"/>
        </w:rPr>
      </w:pPr>
      <w:r>
        <w:rPr>
          <w:rFonts w:ascii="Arial" w:cs="Arial" w:eastAsia="Arial" w:hAnsi="Arial"/>
          <w:sz w:val="14"/>
          <w:szCs w:val="14"/>
          <w:color w:val="auto"/>
        </w:rPr>
        <w:t>The “London Trading Venues” comprise the London Stock Exchange, CBOE Europe Limited (BXE), CBOE Europe Limited (CXE) and Aquis. Goldman Sachs acquired CREST Depositary Interests on the London Trading Venues, which will be cancelled together with the underlying shares they represent.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04"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COCA-COLA EUROPACIFIC PARTNERS PLC</w:t>
      </w:r>
    </w:p>
    <w:p>
      <w:pPr>
        <w:spacing w:after="0" w:line="4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2520" w:type="dxa"/>
            <w:vAlign w:val="bottom"/>
          </w:tcPr>
          <w:p>
            <w:pPr>
              <w:spacing w:after="0"/>
              <w:rPr>
                <w:sz w:val="20"/>
                <w:szCs w:val="20"/>
                <w:color w:val="auto"/>
              </w:rPr>
            </w:pPr>
            <w:r>
              <w:rPr>
                <w:rFonts w:ascii="Arial" w:cs="Arial" w:eastAsia="Arial" w:hAnsi="Arial"/>
                <w:sz w:val="18"/>
                <w:szCs w:val="18"/>
                <w:color w:val="auto"/>
              </w:rPr>
              <w:t>Date: April 27, 2026</w:t>
            </w:r>
          </w:p>
        </w:tc>
        <w:tc>
          <w:tcPr>
            <w:tcW w:w="1620" w:type="dxa"/>
            <w:vAlign w:val="bottom"/>
          </w:tcPr>
          <w:p>
            <w:pPr>
              <w:ind w:left="9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Svetlana Walker</w:t>
            </w:r>
          </w:p>
        </w:tc>
      </w:tr>
      <w:tr>
        <w:trPr>
          <w:trHeight w:val="245"/>
        </w:trPr>
        <w:tc>
          <w:tcPr>
            <w:tcW w:w="2520" w:type="dxa"/>
            <w:vAlign w:val="bottom"/>
          </w:tcPr>
          <w:p>
            <w:pPr>
              <w:spacing w:after="0"/>
              <w:rPr>
                <w:sz w:val="21"/>
                <w:szCs w:val="21"/>
                <w:color w:val="auto"/>
              </w:rPr>
            </w:pPr>
          </w:p>
        </w:tc>
        <w:tc>
          <w:tcPr>
            <w:tcW w:w="1620" w:type="dxa"/>
            <w:vAlign w:val="bottom"/>
          </w:tcPr>
          <w:p>
            <w:pPr>
              <w:ind w:left="920"/>
              <w:spacing w:after="0"/>
              <w:rPr>
                <w:sz w:val="20"/>
                <w:szCs w:val="20"/>
                <w:color w:val="auto"/>
              </w:rPr>
            </w:pPr>
            <w:r>
              <w:rPr>
                <w:rFonts w:ascii="Arial" w:cs="Arial" w:eastAsia="Arial" w:hAnsi="Arial"/>
                <w:sz w:val="18"/>
                <w:szCs w:val="18"/>
                <w:color w:val="auto"/>
              </w:rPr>
              <w:t>Name:</w:t>
            </w:r>
          </w:p>
        </w:tc>
        <w:tc>
          <w:tcPr>
            <w:tcW w:w="4480" w:type="dxa"/>
            <w:vAlign w:val="bottom"/>
          </w:tcPr>
          <w:p>
            <w:pPr>
              <w:ind w:left="20"/>
              <w:spacing w:after="0"/>
              <w:rPr>
                <w:sz w:val="20"/>
                <w:szCs w:val="20"/>
                <w:color w:val="auto"/>
              </w:rPr>
            </w:pPr>
            <w:r>
              <w:rPr>
                <w:rFonts w:ascii="Arial" w:cs="Arial" w:eastAsia="Arial" w:hAnsi="Arial"/>
                <w:sz w:val="18"/>
                <w:szCs w:val="18"/>
                <w:color w:val="auto"/>
              </w:rPr>
              <w:t>Svetlana Walker</w:t>
            </w:r>
          </w:p>
        </w:tc>
      </w:tr>
      <w:tr>
        <w:trPr>
          <w:trHeight w:val="239"/>
        </w:trPr>
        <w:tc>
          <w:tcPr>
            <w:tcW w:w="2520" w:type="dxa"/>
            <w:vAlign w:val="bottom"/>
          </w:tcPr>
          <w:p>
            <w:pPr>
              <w:spacing w:after="0"/>
              <w:rPr>
                <w:sz w:val="20"/>
                <w:szCs w:val="20"/>
                <w:color w:val="auto"/>
              </w:rPr>
            </w:pPr>
          </w:p>
        </w:tc>
        <w:tc>
          <w:tcPr>
            <w:tcW w:w="1620" w:type="dxa"/>
            <w:vAlign w:val="bottom"/>
          </w:tcPr>
          <w:p>
            <w:pPr>
              <w:ind w:left="920"/>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General Counsel &amp;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2026-04-27T09:20:24Z</dcterms:created>
  <dcterms:modified xsi:type="dcterms:W3CDTF">2026-04-27T09:20:24Z</dcterms:modified>
</cp:coreProperties>
</file>