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ending 03 April 2026</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COCA-COLA EUROPACIFIC PARTNERS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Pemberton House, Bakers Road</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Uxbridge, UB8 1EZ, United Kingdom</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9" w:lineRule="exact"/>
        <w:rPr>
          <w:sz w:val="24"/>
          <w:szCs w:val="24"/>
          <w:color w:val="auto"/>
        </w:rPr>
      </w:pPr>
    </w:p>
    <w:p>
      <w:pPr>
        <w:jc w:val="center"/>
        <w:ind w:right="19"/>
        <w:spacing w:after="0" w:line="219"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Form 40-F D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495935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right"/>
        <w:ind w:right="2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166370</wp:posOffset>
            </wp:positionV>
            <wp:extent cx="166306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April 2026</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COCA-COLA EUROPACIFIC PARTNERS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Trading Update for the First Quarter ended 03 April 2026 &amp; Interim Dividend Declaration</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Good start to the year; reaffirming full-year guidance</w:t>
      </w:r>
    </w:p>
    <w:p>
      <w:pPr>
        <w:sectPr>
          <w:pgSz w:w="11900" w:h="16838" w:orient="portrait"/>
          <w:cols w:equalWidth="0" w:num="1">
            <w:col w:w="11240"/>
          </w:cols>
          <w:pgMar w:left="320" w:top="657" w:right="339"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Q1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Borders>
              <w:top w:val="single" w:sz="8" w:color="EE2724"/>
            </w:tcBorders>
          </w:tcPr>
          <w:p>
            <w:pPr>
              <w:spacing w:after="0"/>
              <w:rPr>
                <w:sz w:val="14"/>
                <w:szCs w:val="14"/>
                <w:color w:val="auto"/>
              </w:rPr>
            </w:pPr>
          </w:p>
        </w:tc>
        <w:tc>
          <w:tcPr>
            <w:tcW w:w="1360" w:type="dxa"/>
            <w:vAlign w:val="bottom"/>
            <w:tcBorders>
              <w:top w:val="single" w:sz="8" w:color="EE2724"/>
            </w:tcBorders>
            <w:vMerge w:val="restart"/>
          </w:tcPr>
          <w:p>
            <w:pPr>
              <w:ind w:left="380"/>
              <w:spacing w:after="0"/>
              <w:rPr>
                <w:sz w:val="20"/>
                <w:szCs w:val="20"/>
                <w:color w:val="auto"/>
              </w:rPr>
            </w:pPr>
            <w:r>
              <w:rPr>
                <w:rFonts w:ascii="Arial" w:cs="Arial" w:eastAsia="Arial" w:hAnsi="Arial"/>
                <w:sz w:val="14"/>
                <w:szCs w:val="14"/>
                <w:b w:val="1"/>
                <w:bCs w:val="1"/>
                <w:color w:val="auto"/>
              </w:rPr>
              <w:t>Revenue</w:t>
            </w:r>
          </w:p>
        </w:tc>
        <w:tc>
          <w:tcPr>
            <w:tcW w:w="1140" w:type="dxa"/>
            <w:vAlign w:val="bottom"/>
            <w:tcBorders>
              <w:top w:val="single" w:sz="8" w:color="EE2724"/>
            </w:tcBorders>
          </w:tcPr>
          <w:p>
            <w:pPr>
              <w:jc w:val="center"/>
              <w:ind w:left="88"/>
              <w:spacing w:after="0"/>
              <w:rPr>
                <w:sz w:val="20"/>
                <w:szCs w:val="20"/>
                <w:color w:val="auto"/>
              </w:rPr>
            </w:pPr>
            <w:r>
              <w:rPr>
                <w:rFonts w:ascii="Arial" w:cs="Arial" w:eastAsia="Arial" w:hAnsi="Arial"/>
                <w:sz w:val="14"/>
                <w:szCs w:val="14"/>
                <w:b w:val="1"/>
                <w:bCs w:val="1"/>
                <w:color w:val="auto"/>
                <w:w w:val="98"/>
              </w:rPr>
              <w:t>Volume</w:t>
            </w:r>
          </w:p>
        </w:tc>
        <w:tc>
          <w:tcPr>
            <w:tcW w:w="1520" w:type="dxa"/>
            <w:vAlign w:val="bottom"/>
            <w:tcBorders>
              <w:top w:val="single" w:sz="8" w:color="EE2724"/>
            </w:tcBorders>
          </w:tcPr>
          <w:p>
            <w:pPr>
              <w:ind w:left="220"/>
              <w:spacing w:after="0" w:line="171" w:lineRule="exact"/>
              <w:rPr>
                <w:sz w:val="20"/>
                <w:szCs w:val="20"/>
                <w:color w:val="auto"/>
              </w:rPr>
            </w:pPr>
            <w:r>
              <w:rPr>
                <w:rFonts w:ascii="Arial" w:cs="Arial" w:eastAsia="Arial" w:hAnsi="Arial"/>
                <w:sz w:val="14"/>
                <w:szCs w:val="14"/>
                <w:b w:val="1"/>
                <w:bCs w:val="1"/>
                <w:color w:val="auto"/>
              </w:rPr>
              <w:t>Revenue per UC</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1780" w:type="dxa"/>
            <w:vAlign w:val="bottom"/>
            <w:tcBorders>
              <w:bottom w:val="single" w:sz="8" w:color="EE2724"/>
            </w:tcBorders>
          </w:tcPr>
          <w:p>
            <w:pPr>
              <w:spacing w:after="0"/>
              <w:rPr>
                <w:sz w:val="15"/>
                <w:szCs w:val="15"/>
                <w:color w:val="auto"/>
              </w:rPr>
            </w:pPr>
          </w:p>
        </w:tc>
        <w:tc>
          <w:tcPr>
            <w:tcW w:w="1360" w:type="dxa"/>
            <w:vAlign w:val="bottom"/>
            <w:tcBorders>
              <w:bottom w:val="single" w:sz="8" w:color="EE2724"/>
            </w:tcBorders>
            <w:vMerge w:val="continue"/>
          </w:tcPr>
          <w:p>
            <w:pPr>
              <w:spacing w:after="0"/>
              <w:rPr>
                <w:sz w:val="15"/>
                <w:szCs w:val="15"/>
                <w:color w:val="auto"/>
              </w:rPr>
            </w:pPr>
          </w:p>
        </w:tc>
        <w:tc>
          <w:tcPr>
            <w:tcW w:w="1140" w:type="dxa"/>
            <w:vAlign w:val="bottom"/>
            <w:tcBorders>
              <w:bottom w:val="single" w:sz="8" w:color="EE2724"/>
            </w:tcBorders>
          </w:tcPr>
          <w:p>
            <w:pPr>
              <w:jc w:val="center"/>
              <w:ind w:left="88"/>
              <w:spacing w:after="0"/>
              <w:rPr>
                <w:sz w:val="20"/>
                <w:szCs w:val="20"/>
                <w:color w:val="auto"/>
              </w:rPr>
            </w:pPr>
            <w:r>
              <w:rPr>
                <w:rFonts w:ascii="Arial" w:cs="Arial" w:eastAsia="Arial" w:hAnsi="Arial"/>
                <w:sz w:val="14"/>
                <w:szCs w:val="14"/>
                <w:b w:val="1"/>
                <w:bCs w:val="1"/>
                <w:color w:val="auto"/>
              </w:rPr>
              <w:t>(UC)</w:t>
            </w:r>
            <w:r>
              <w:rPr>
                <w:rFonts w:ascii="Arial" w:cs="Arial" w:eastAsia="Arial" w:hAnsi="Arial"/>
                <w:sz w:val="9"/>
                <w:szCs w:val="9"/>
                <w:b w:val="1"/>
                <w:bCs w:val="1"/>
                <w:color w:val="auto"/>
              </w:rPr>
              <w:t>[2]</w:t>
            </w:r>
          </w:p>
        </w:tc>
        <w:tc>
          <w:tcPr>
            <w:tcW w:w="1520" w:type="dxa"/>
            <w:vAlign w:val="bottom"/>
            <w:tcBorders>
              <w:bottom w:val="single" w:sz="8" w:color="EE2724"/>
            </w:tcBorders>
          </w:tcPr>
          <w:p>
            <w:pPr>
              <w:jc w:val="center"/>
              <w:ind w:left="113"/>
              <w:spacing w:after="0"/>
              <w:rPr>
                <w:sz w:val="20"/>
                <w:szCs w:val="20"/>
                <w:color w:val="auto"/>
              </w:rPr>
            </w:pPr>
            <w:r>
              <w:rPr>
                <w:rFonts w:ascii="Arial" w:cs="Arial" w:eastAsia="Arial" w:hAnsi="Arial"/>
                <w:sz w:val="9"/>
                <w:szCs w:val="9"/>
                <w:b w:val="1"/>
                <w:bCs w:val="1"/>
                <w:color w:val="auto"/>
              </w:rPr>
              <w:t>[2],[3]</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rPr>
              <w:t>Europe</w:t>
            </w:r>
          </w:p>
        </w:tc>
        <w:tc>
          <w:tcPr>
            <w:tcW w:w="1360" w:type="dxa"/>
            <w:vAlign w:val="bottom"/>
            <w:tcBorders>
              <w:bottom w:val="single" w:sz="8" w:color="B6B6B6"/>
            </w:tcBorders>
          </w:tcPr>
          <w:p>
            <w:pPr>
              <w:ind w:left="400"/>
              <w:spacing w:after="0"/>
              <w:rPr>
                <w:sz w:val="20"/>
                <w:szCs w:val="20"/>
                <w:color w:val="auto"/>
              </w:rPr>
            </w:pPr>
            <w:r>
              <w:rPr>
                <w:rFonts w:ascii="Arial" w:cs="Arial" w:eastAsia="Arial" w:hAnsi="Arial"/>
                <w:sz w:val="14"/>
                <w:szCs w:val="14"/>
                <w:color w:val="auto"/>
              </w:rPr>
              <w:t>€3,549m</w:t>
            </w:r>
          </w:p>
        </w:tc>
        <w:tc>
          <w:tcPr>
            <w:tcW w:w="1140" w:type="dxa"/>
            <w:vAlign w:val="bottom"/>
            <w:tcBorders>
              <w:bottom w:val="single" w:sz="8" w:color="B6B6B6"/>
            </w:tcBorders>
          </w:tcPr>
          <w:p>
            <w:pPr>
              <w:jc w:val="center"/>
              <w:ind w:left="108"/>
              <w:spacing w:after="0"/>
              <w:rPr>
                <w:sz w:val="20"/>
                <w:szCs w:val="20"/>
                <w:color w:val="auto"/>
              </w:rPr>
            </w:pPr>
            <w:r>
              <w:rPr>
                <w:rFonts w:ascii="Arial" w:cs="Arial" w:eastAsia="Arial" w:hAnsi="Arial"/>
                <w:sz w:val="14"/>
                <w:szCs w:val="14"/>
                <w:color w:val="auto"/>
              </w:rPr>
              <w:t>596m</w:t>
            </w:r>
          </w:p>
        </w:tc>
        <w:tc>
          <w:tcPr>
            <w:tcW w:w="1520" w:type="dxa"/>
            <w:vAlign w:val="bottom"/>
            <w:tcBorders>
              <w:bottom w:val="single" w:sz="8" w:color="B6B6B6"/>
            </w:tcBorders>
          </w:tcPr>
          <w:p>
            <w:pPr>
              <w:jc w:val="center"/>
              <w:ind w:left="133"/>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APS</w:t>
            </w:r>
          </w:p>
        </w:tc>
        <w:tc>
          <w:tcPr>
            <w:tcW w:w="1360" w:type="dxa"/>
            <w:vAlign w:val="bottom"/>
            <w:tcBorders>
              <w:bottom w:val="single" w:sz="8" w:color="B6B6B6"/>
            </w:tcBorders>
          </w:tcPr>
          <w:p>
            <w:pPr>
              <w:ind w:left="400"/>
              <w:spacing w:after="0"/>
              <w:rPr>
                <w:sz w:val="20"/>
                <w:szCs w:val="20"/>
                <w:color w:val="auto"/>
              </w:rPr>
            </w:pPr>
            <w:r>
              <w:rPr>
                <w:rFonts w:ascii="Arial" w:cs="Arial" w:eastAsia="Arial" w:hAnsi="Arial"/>
                <w:sz w:val="14"/>
                <w:szCs w:val="14"/>
                <w:color w:val="auto"/>
              </w:rPr>
              <w:t>€1,452m</w:t>
            </w:r>
          </w:p>
        </w:tc>
        <w:tc>
          <w:tcPr>
            <w:tcW w:w="1140" w:type="dxa"/>
            <w:vAlign w:val="bottom"/>
            <w:tcBorders>
              <w:bottom w:val="single" w:sz="8" w:color="B6B6B6"/>
            </w:tcBorders>
          </w:tcPr>
          <w:p>
            <w:pPr>
              <w:jc w:val="center"/>
              <w:ind w:left="108"/>
              <w:spacing w:after="0"/>
              <w:rPr>
                <w:sz w:val="20"/>
                <w:szCs w:val="20"/>
                <w:color w:val="auto"/>
              </w:rPr>
            </w:pPr>
            <w:r>
              <w:rPr>
                <w:rFonts w:ascii="Arial" w:cs="Arial" w:eastAsia="Arial" w:hAnsi="Arial"/>
                <w:sz w:val="14"/>
                <w:szCs w:val="14"/>
                <w:color w:val="auto"/>
              </w:rPr>
              <w:t>374m</w:t>
            </w:r>
          </w:p>
        </w:tc>
        <w:tc>
          <w:tcPr>
            <w:tcW w:w="1520" w:type="dxa"/>
            <w:vAlign w:val="bottom"/>
            <w:tcBorders>
              <w:bottom w:val="single" w:sz="8" w:color="B6B6B6"/>
            </w:tcBorders>
          </w:tcPr>
          <w:p>
            <w:pPr>
              <w:jc w:val="center"/>
              <w:ind w:left="133"/>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99"/>
        </w:trPr>
        <w:tc>
          <w:tcPr>
            <w:tcW w:w="1780" w:type="dxa"/>
            <w:vAlign w:val="bottom"/>
            <w:tcBorders>
              <w:bottom w:val="single" w:sz="8" w:color="ACACAC"/>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CCEP</w:t>
            </w:r>
          </w:p>
        </w:tc>
        <w:tc>
          <w:tcPr>
            <w:tcW w:w="1360" w:type="dxa"/>
            <w:vAlign w:val="bottom"/>
            <w:tcBorders>
              <w:bottom w:val="single" w:sz="8" w:color="B6B6B6"/>
            </w:tcBorders>
            <w:shd w:val="clear" w:color="auto" w:fill="DBDBDB"/>
          </w:tcPr>
          <w:p>
            <w:pPr>
              <w:ind w:left="400"/>
              <w:spacing w:after="0"/>
              <w:rPr>
                <w:sz w:val="20"/>
                <w:szCs w:val="20"/>
                <w:color w:val="auto"/>
              </w:rPr>
            </w:pPr>
            <w:r>
              <w:rPr>
                <w:rFonts w:ascii="Arial" w:cs="Arial" w:eastAsia="Arial" w:hAnsi="Arial"/>
                <w:sz w:val="14"/>
                <w:szCs w:val="14"/>
                <w:b w:val="1"/>
                <w:bCs w:val="1"/>
                <w:color w:val="auto"/>
              </w:rPr>
              <w:t>€5,001m</w:t>
            </w:r>
          </w:p>
        </w:tc>
        <w:tc>
          <w:tcPr>
            <w:tcW w:w="1140" w:type="dxa"/>
            <w:vAlign w:val="bottom"/>
            <w:tcBorders>
              <w:bottom w:val="single" w:sz="8" w:color="B6B6B6"/>
            </w:tcBorders>
            <w:shd w:val="clear" w:color="auto" w:fill="DBDBDB"/>
          </w:tcPr>
          <w:p>
            <w:pPr>
              <w:jc w:val="center"/>
              <w:ind w:left="108"/>
              <w:spacing w:after="0"/>
              <w:rPr>
                <w:sz w:val="20"/>
                <w:szCs w:val="20"/>
                <w:color w:val="auto"/>
              </w:rPr>
            </w:pPr>
            <w:r>
              <w:rPr>
                <w:rFonts w:ascii="Arial" w:cs="Arial" w:eastAsia="Arial" w:hAnsi="Arial"/>
                <w:sz w:val="14"/>
                <w:szCs w:val="14"/>
                <w:b w:val="1"/>
                <w:bCs w:val="1"/>
                <w:color w:val="auto"/>
              </w:rPr>
              <w:t>970m</w:t>
            </w:r>
          </w:p>
        </w:tc>
        <w:tc>
          <w:tcPr>
            <w:tcW w:w="1520" w:type="dxa"/>
            <w:vAlign w:val="bottom"/>
            <w:tcBorders>
              <w:bottom w:val="single" w:sz="8" w:color="B6B6B6"/>
            </w:tcBorders>
            <w:shd w:val="clear" w:color="auto" w:fill="DBDBDB"/>
          </w:tcPr>
          <w:p>
            <w:pPr>
              <w:jc w:val="center"/>
              <w:ind w:left="133"/>
              <w:spacing w:after="0"/>
              <w:rPr>
                <w:sz w:val="20"/>
                <w:szCs w:val="20"/>
                <w:color w:val="auto"/>
              </w:rPr>
            </w:pPr>
            <w:r>
              <w:rPr>
                <w:rFonts w:ascii="Arial" w:cs="Arial" w:eastAsia="Arial" w:hAnsi="Arial"/>
                <w:sz w:val="14"/>
                <w:szCs w:val="14"/>
                <w:b w:val="1"/>
                <w:bCs w:val="1"/>
                <w:color w:val="auto"/>
              </w:rPr>
              <w:t>€5.29</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Damian Gammell, Chief Executive Officer, said: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 vs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394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9"/>
              </w:rPr>
              <w:t>Volume*</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Revenue per UC</w:t>
            </w:r>
            <w:r>
              <w:rPr>
                <w:rFonts w:ascii="Arial" w:cs="Arial" w:eastAsia="Arial" w:hAnsi="Arial"/>
                <w:sz w:val="18"/>
                <w:szCs w:val="18"/>
                <w:b w:val="1"/>
                <w:bCs w:val="1"/>
                <w:color w:val="auto"/>
                <w:vertAlign w:val="superscript"/>
              </w:rPr>
              <w:t>[1],</w:t>
            </w:r>
          </w:p>
        </w:tc>
        <w:tc>
          <w:tcPr>
            <w:tcW w:w="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FXN</w:t>
            </w:r>
          </w:p>
        </w:tc>
        <w:tc>
          <w:tcPr>
            <w:tcW w:w="260" w:type="dxa"/>
            <w:vAlign w:val="bottom"/>
          </w:tcPr>
          <w:p>
            <w:pPr>
              <w:jc w:val="right"/>
              <w:spacing w:after="0"/>
              <w:rPr>
                <w:sz w:val="20"/>
                <w:szCs w:val="20"/>
                <w:color w:val="auto"/>
              </w:rPr>
            </w:pPr>
            <w:r>
              <w:rPr>
                <w:rFonts w:ascii="Arial" w:cs="Arial" w:eastAsia="Arial" w:hAnsi="Arial"/>
                <w:sz w:val="9"/>
                <w:szCs w:val="9"/>
                <w:b w:val="1"/>
                <w:bCs w:val="1"/>
                <w:color w:val="auto"/>
                <w:w w:val="89"/>
              </w:rPr>
              <w:t>[1],[3]</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Revenue</w:t>
            </w:r>
          </w:p>
        </w:tc>
        <w:tc>
          <w:tcPr>
            <w:tcW w:w="12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27"/>
        </w:trPr>
        <w:tc>
          <w:tcPr>
            <w:tcW w:w="1160" w:type="dxa"/>
            <w:vAlign w:val="bottom"/>
            <w:vMerge w:val="continue"/>
          </w:tcPr>
          <w:p>
            <w:pPr>
              <w:spacing w:after="0"/>
              <w:rPr>
                <w:sz w:val="11"/>
                <w:szCs w:val="11"/>
                <w:color w:val="auto"/>
              </w:rPr>
            </w:pPr>
          </w:p>
        </w:tc>
        <w:tc>
          <w:tcPr>
            <w:tcW w:w="1520" w:type="dxa"/>
            <w:vAlign w:val="bottom"/>
          </w:tcPr>
          <w:p>
            <w:pPr>
              <w:jc w:val="center"/>
              <w:ind w:left="93"/>
              <w:spacing w:after="0"/>
              <w:rPr>
                <w:sz w:val="20"/>
                <w:szCs w:val="20"/>
                <w:color w:val="auto"/>
              </w:rPr>
            </w:pPr>
            <w:r>
              <w:rPr>
                <w:rFonts w:ascii="Arial" w:cs="Arial" w:eastAsia="Arial" w:hAnsi="Arial"/>
                <w:sz w:val="9"/>
                <w:szCs w:val="9"/>
                <w:b w:val="1"/>
                <w:bCs w:val="1"/>
                <w:color w:val="auto"/>
                <w:w w:val="97"/>
              </w:rPr>
              <w:t>[2],[3]</w:t>
            </w:r>
          </w:p>
        </w:tc>
        <w:tc>
          <w:tcPr>
            <w:tcW w:w="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60" w:type="dxa"/>
            <w:vAlign w:val="bottom"/>
            <w:tcBorders>
              <w:bottom w:val="single" w:sz="8" w:color="EE2724"/>
            </w:tcBorders>
          </w:tcPr>
          <w:p>
            <w:pPr>
              <w:spacing w:after="0"/>
              <w:rPr>
                <w:sz w:val="4"/>
                <w:szCs w:val="4"/>
                <w:color w:val="auto"/>
              </w:rPr>
            </w:pPr>
          </w:p>
        </w:tc>
        <w:tc>
          <w:tcPr>
            <w:tcW w:w="1520" w:type="dxa"/>
            <w:vAlign w:val="bottom"/>
            <w:tcBorders>
              <w:bottom w:val="single" w:sz="8" w:color="EE2724"/>
            </w:tcBorders>
          </w:tcPr>
          <w:p>
            <w:pPr>
              <w:spacing w:after="0"/>
              <w:rPr>
                <w:sz w:val="4"/>
                <w:szCs w:val="4"/>
                <w:color w:val="auto"/>
              </w:rPr>
            </w:pPr>
          </w:p>
        </w:tc>
        <w:tc>
          <w:tcPr>
            <w:tcW w:w="360" w:type="dxa"/>
            <w:vAlign w:val="bottom"/>
            <w:tcBorders>
              <w:bottom w:val="single" w:sz="8" w:color="EE2724"/>
            </w:tcBorders>
          </w:tcPr>
          <w:p>
            <w:pPr>
              <w:spacing w:after="0"/>
              <w:rPr>
                <w:sz w:val="4"/>
                <w:szCs w:val="4"/>
                <w:color w:val="auto"/>
              </w:rPr>
            </w:pPr>
          </w:p>
        </w:tc>
        <w:tc>
          <w:tcPr>
            <w:tcW w:w="1100" w:type="dxa"/>
            <w:vAlign w:val="bottom"/>
            <w:tcBorders>
              <w:bottom w:val="single" w:sz="8" w:color="EE2724"/>
            </w:tcBorders>
            <w:gridSpan w:val="2"/>
          </w:tcPr>
          <w:p>
            <w:pPr>
              <w:spacing w:after="0"/>
              <w:rPr>
                <w:sz w:val="4"/>
                <w:szCs w:val="4"/>
                <w:color w:val="auto"/>
              </w:rPr>
            </w:pPr>
          </w:p>
        </w:tc>
        <w:tc>
          <w:tcPr>
            <w:tcW w:w="1200" w:type="dxa"/>
            <w:vAlign w:val="bottom"/>
            <w:tcBorders>
              <w:bottom w:val="single" w:sz="8" w:color="EE2724"/>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B6B6B6"/>
            </w:tcBorders>
          </w:tcPr>
          <w:p>
            <w:pPr>
              <w:jc w:val="center"/>
              <w:ind w:left="88"/>
              <w:spacing w:after="0"/>
              <w:rPr>
                <w:sz w:val="20"/>
                <w:szCs w:val="20"/>
                <w:color w:val="auto"/>
              </w:rPr>
            </w:pPr>
            <w:r>
              <w:rPr>
                <w:rFonts w:ascii="Arial" w:cs="Arial" w:eastAsia="Arial" w:hAnsi="Arial"/>
                <w:sz w:val="14"/>
                <w:szCs w:val="14"/>
                <w:color w:val="auto"/>
              </w:rPr>
              <w:t>8.4%</w:t>
            </w:r>
          </w:p>
        </w:tc>
        <w:tc>
          <w:tcPr>
            <w:tcW w:w="1520" w:type="dxa"/>
            <w:vAlign w:val="bottom"/>
            <w:tcBorders>
              <w:bottom w:val="single" w:sz="8" w:color="B6B6B6"/>
            </w:tcBorders>
          </w:tcPr>
          <w:p>
            <w:pPr>
              <w:jc w:val="center"/>
              <w:ind w:left="93"/>
              <w:spacing w:after="0"/>
              <w:rPr>
                <w:sz w:val="20"/>
                <w:szCs w:val="20"/>
                <w:color w:val="auto"/>
              </w:rPr>
            </w:pPr>
            <w:r>
              <w:rPr>
                <w:rFonts w:ascii="Arial" w:cs="Arial" w:eastAsia="Arial" w:hAnsi="Arial"/>
                <w:sz w:val="14"/>
                <w:szCs w:val="14"/>
                <w:color w:val="auto"/>
              </w:rPr>
              <w:t>1.3%</w:t>
            </w:r>
          </w:p>
        </w:tc>
        <w:tc>
          <w:tcPr>
            <w:tcW w:w="36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gridSpan w:val="2"/>
          </w:tcPr>
          <w:p>
            <w:pPr>
              <w:jc w:val="right"/>
              <w:ind w:right="568"/>
              <w:spacing w:after="0"/>
              <w:rPr>
                <w:sz w:val="20"/>
                <w:szCs w:val="20"/>
                <w:color w:val="auto"/>
              </w:rPr>
            </w:pPr>
            <w:r>
              <w:rPr>
                <w:rFonts w:ascii="Arial" w:cs="Arial" w:eastAsia="Arial" w:hAnsi="Arial"/>
                <w:sz w:val="14"/>
                <w:szCs w:val="14"/>
                <w:color w:val="auto"/>
              </w:rPr>
              <w:t>9.8%</w:t>
            </w:r>
          </w:p>
        </w:tc>
        <w:tc>
          <w:tcPr>
            <w:tcW w:w="1200" w:type="dxa"/>
            <w:vAlign w:val="bottom"/>
            <w:tcBorders>
              <w:bottom w:val="single" w:sz="8" w:color="B6B6B6"/>
            </w:tcBorders>
          </w:tcPr>
          <w:p>
            <w:pPr>
              <w:jc w:val="center"/>
              <w:ind w:right="6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B6B6B6"/>
            </w:tcBorders>
          </w:tcPr>
          <w:p>
            <w:pPr>
              <w:jc w:val="center"/>
              <w:ind w:left="88"/>
              <w:spacing w:after="0"/>
              <w:rPr>
                <w:sz w:val="20"/>
                <w:szCs w:val="20"/>
                <w:color w:val="auto"/>
              </w:rPr>
            </w:pPr>
            <w:r>
              <w:rPr>
                <w:rFonts w:ascii="Arial" w:cs="Arial" w:eastAsia="Arial" w:hAnsi="Arial"/>
                <w:sz w:val="14"/>
                <w:szCs w:val="14"/>
                <w:color w:val="auto"/>
              </w:rPr>
              <w:t>8.7%</w:t>
            </w:r>
          </w:p>
        </w:tc>
        <w:tc>
          <w:tcPr>
            <w:tcW w:w="1520" w:type="dxa"/>
            <w:vAlign w:val="bottom"/>
            <w:tcBorders>
              <w:bottom w:val="single" w:sz="8" w:color="B6B6B6"/>
            </w:tcBorders>
          </w:tcPr>
          <w:p>
            <w:pPr>
              <w:jc w:val="center"/>
              <w:ind w:left="93"/>
              <w:spacing w:after="0"/>
              <w:rPr>
                <w:sz w:val="20"/>
                <w:szCs w:val="20"/>
                <w:color w:val="auto"/>
              </w:rPr>
            </w:pPr>
            <w:r>
              <w:rPr>
                <w:rFonts w:ascii="Arial" w:cs="Arial" w:eastAsia="Arial" w:hAnsi="Arial"/>
                <w:sz w:val="14"/>
                <w:szCs w:val="14"/>
                <w:color w:val="auto"/>
              </w:rPr>
              <w:t>(0.3)%</w:t>
            </w:r>
          </w:p>
        </w:tc>
        <w:tc>
          <w:tcPr>
            <w:tcW w:w="3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gridSpan w:val="2"/>
          </w:tcPr>
          <w:p>
            <w:pPr>
              <w:jc w:val="right"/>
              <w:ind w:right="568"/>
              <w:spacing w:after="0"/>
              <w:rPr>
                <w:sz w:val="20"/>
                <w:szCs w:val="20"/>
                <w:color w:val="auto"/>
              </w:rPr>
            </w:pPr>
            <w:r>
              <w:rPr>
                <w:rFonts w:ascii="Arial" w:cs="Arial" w:eastAsia="Arial" w:hAnsi="Arial"/>
                <w:sz w:val="14"/>
                <w:szCs w:val="14"/>
                <w:color w:val="auto"/>
              </w:rPr>
              <w:t>8.6%</w:t>
            </w:r>
          </w:p>
        </w:tc>
        <w:tc>
          <w:tcPr>
            <w:tcW w:w="1200" w:type="dxa"/>
            <w:vAlign w:val="bottom"/>
            <w:tcBorders>
              <w:bottom w:val="single" w:sz="8" w:color="B6B6B6"/>
            </w:tcBorders>
          </w:tcPr>
          <w:p>
            <w:pPr>
              <w:jc w:val="center"/>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1160" w:type="dxa"/>
            <w:vAlign w:val="bottom"/>
            <w:tcBorders>
              <w:bottom w:val="single" w:sz="8" w:color="B6B6B6"/>
            </w:tcBorders>
            <w:shd w:val="clear" w:color="auto" w:fill="DBDBDB"/>
          </w:tcPr>
          <w:p>
            <w:pPr>
              <w:jc w:val="center"/>
              <w:ind w:left="88"/>
              <w:spacing w:after="0"/>
              <w:rPr>
                <w:sz w:val="20"/>
                <w:szCs w:val="20"/>
                <w:color w:val="auto"/>
              </w:rPr>
            </w:pPr>
            <w:r>
              <w:rPr>
                <w:rFonts w:ascii="Arial" w:cs="Arial" w:eastAsia="Arial" w:hAnsi="Arial"/>
                <w:sz w:val="14"/>
                <w:szCs w:val="14"/>
                <w:b w:val="1"/>
                <w:bCs w:val="1"/>
                <w:color w:val="auto"/>
              </w:rPr>
              <w:t>8.5%</w:t>
            </w:r>
          </w:p>
        </w:tc>
        <w:tc>
          <w:tcPr>
            <w:tcW w:w="1520" w:type="dxa"/>
            <w:vAlign w:val="bottom"/>
            <w:tcBorders>
              <w:bottom w:val="single" w:sz="8" w:color="B6B6B6"/>
            </w:tcBorders>
            <w:shd w:val="clear" w:color="auto" w:fill="DBDBDB"/>
          </w:tcPr>
          <w:p>
            <w:pPr>
              <w:jc w:val="center"/>
              <w:ind w:left="93"/>
              <w:spacing w:after="0"/>
              <w:rPr>
                <w:sz w:val="20"/>
                <w:szCs w:val="20"/>
                <w:color w:val="auto"/>
              </w:rPr>
            </w:pPr>
            <w:r>
              <w:rPr>
                <w:rFonts w:ascii="Arial" w:cs="Arial" w:eastAsia="Arial" w:hAnsi="Arial"/>
                <w:sz w:val="14"/>
                <w:szCs w:val="14"/>
                <w:b w:val="1"/>
                <w:bCs w:val="1"/>
                <w:color w:val="auto"/>
              </w:rPr>
              <w:t>0.8%</w:t>
            </w:r>
          </w:p>
        </w:tc>
        <w:tc>
          <w:tcPr>
            <w:tcW w:w="360" w:type="dxa"/>
            <w:vAlign w:val="bottom"/>
            <w:tcBorders>
              <w:bottom w:val="single" w:sz="8" w:color="B6B6B6"/>
            </w:tcBorders>
            <w:shd w:val="clear" w:color="auto" w:fill="DBDBDB"/>
          </w:tcPr>
          <w:p>
            <w:pPr>
              <w:spacing w:after="0"/>
              <w:rPr>
                <w:sz w:val="17"/>
                <w:szCs w:val="17"/>
                <w:color w:val="auto"/>
              </w:rPr>
            </w:pPr>
          </w:p>
        </w:tc>
        <w:tc>
          <w:tcPr>
            <w:tcW w:w="1100" w:type="dxa"/>
            <w:vAlign w:val="bottom"/>
            <w:tcBorders>
              <w:bottom w:val="single" w:sz="8" w:color="B6B6B6"/>
            </w:tcBorders>
            <w:gridSpan w:val="2"/>
            <w:shd w:val="clear" w:color="auto" w:fill="DBDBDB"/>
          </w:tcPr>
          <w:p>
            <w:pPr>
              <w:jc w:val="right"/>
              <w:ind w:right="568"/>
              <w:spacing w:after="0"/>
              <w:rPr>
                <w:sz w:val="20"/>
                <w:szCs w:val="20"/>
                <w:color w:val="auto"/>
              </w:rPr>
            </w:pPr>
            <w:r>
              <w:rPr>
                <w:rFonts w:ascii="Arial" w:cs="Arial" w:eastAsia="Arial" w:hAnsi="Arial"/>
                <w:sz w:val="14"/>
                <w:szCs w:val="14"/>
                <w:b w:val="1"/>
                <w:bCs w:val="1"/>
                <w:color w:val="auto"/>
              </w:rPr>
              <w:t>9.4%</w:t>
            </w:r>
          </w:p>
        </w:tc>
        <w:tc>
          <w:tcPr>
            <w:tcW w:w="1200" w:type="dxa"/>
            <w:vAlign w:val="bottom"/>
            <w:tcBorders>
              <w:bottom w:val="single" w:sz="8" w:color="B6B6B6"/>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bl>
    <w:p>
      <w:pPr>
        <w:spacing w:after="0" w:line="680" w:lineRule="exact"/>
        <w:rPr>
          <w:sz w:val="20"/>
          <w:szCs w:val="20"/>
          <w:color w:val="auto"/>
        </w:rPr>
      </w:pPr>
    </w:p>
    <w:p>
      <w:pPr>
        <w:sectPr>
          <w:pgSz w:w="11900" w:h="16838" w:orient="portrait"/>
          <w:cols w:equalWidth="0" w:num="2">
            <w:col w:w="5800" w:space="100"/>
            <w:col w:w="5340"/>
          </w:cols>
          <w:pgMar w:left="320" w:top="657" w:right="339" w:bottom="0" w:gutter="0" w:footer="0" w:header="0"/>
          <w:type w:val="continuous"/>
        </w:sectPr>
      </w:pPr>
    </w:p>
    <w:p>
      <w:pPr>
        <w:spacing w:after="0" w:line="264"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“We've had a good start to the year with more balanced topline delivery. Although stronger volumes benefitted from calendar phasing and an earlier Easter, we delivered solid comparable volume growth and share gains driven by great execution. Our consumers continued to enjoy a wonderful portfolio of beverages; our revenue growth reflecting the ongoing demand for value from consumers but also for exciting innovation and premiumisation across a broad pack offering. Our categories continue to grow strongly, especially in zeros, and we remain the leading value creator for our customers supported by our brand partners.</w:t>
      </w:r>
    </w:p>
    <w:p>
      <w:pPr>
        <w:spacing w:after="0" w:line="214"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“Whilst the consumer environment remains challenging and the full impact of the situation in the Middle East is uncertain, we are resilient. We continue to actively manage pricing, promotions, discretionary spend and efficiencies alongside bringing excitement to customers and consumers, like the FIFA World Cup. We are also investing more than ever in growth, from technology and AI, to more coolers and our new plant in the Philippines.</w:t>
      </w:r>
    </w:p>
    <w:p>
      <w:pPr>
        <w:spacing w:after="0" w:line="19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“Today’s dividend declaration, reaffirmation of our full year guidance for 2026 and ongoing share buybacks demonstrate the strength of our business and our ability to deliver continued shareholder value. We are confident we have the right strategy, executed sustainably, to deliver on our mid-term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firstLine="8"/>
        <w:spacing w:after="0" w:line="271" w:lineRule="auto"/>
        <w:tabs>
          <w:tab w:leader="none" w:pos="84" w:val="left"/>
        </w:tabs>
        <w:numPr>
          <w:ilvl w:val="0"/>
          <w:numId w:val="1"/>
        </w:numPr>
        <w:rPr>
          <w:rFonts w:ascii="Arial" w:cs="Arial" w:eastAsia="Arial" w:hAnsi="Arial"/>
          <w:sz w:val="13"/>
          <w:szCs w:val="13"/>
          <w:color w:val="auto"/>
        </w:rPr>
      </w:pPr>
      <w:r>
        <w:rPr>
          <w:rFonts w:ascii="Arial" w:cs="Arial" w:eastAsia="Arial" w:hAnsi="Arial"/>
          <w:sz w:val="13"/>
          <w:szCs w:val="13"/>
          <w:color w:val="auto"/>
        </w:rPr>
        <w:t>Volume is disclosed on a reported basis which includes six additional consumption days versus the comparative period. On a comparable basis Group volumes grew by 1.6% (Europe: +1.4%; APS: +1.9%)</w:t>
      </w:r>
      <w:r>
        <w:rPr>
          <w:rFonts w:ascii="Arial" w:cs="Arial" w:eastAsia="Arial" w:hAnsi="Arial"/>
          <w:sz w:val="16"/>
          <w:szCs w:val="16"/>
          <w:color w:val="auto"/>
          <w:vertAlign w:val="superscript"/>
        </w:rPr>
        <w:t>[4]</w:t>
      </w:r>
      <w:r>
        <w:rPr>
          <w:rFonts w:ascii="Arial" w:cs="Arial" w:eastAsia="Arial" w:hAnsi="Arial"/>
          <w:sz w:val="13"/>
          <w:szCs w:val="13"/>
          <w:color w:val="auto"/>
        </w:rPr>
        <w:t>. Volume % throughout the release refers to comparable movements unless otherwise stated.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All footnotes included in Further Information section of this release</w:t>
      </w:r>
    </w:p>
    <w:p>
      <w:pPr>
        <w:sectPr>
          <w:pgSz w:w="11900" w:h="16838" w:orient="portrait"/>
          <w:cols w:equalWidth="0" w:num="1">
            <w:col w:w="11240"/>
          </w:cols>
          <w:pgMar w:left="320" w:top="657" w:right="339" w:bottom="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166370</wp:posOffset>
            </wp:positionV>
            <wp:extent cx="166306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Q1 HIGHLIGHTS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Volume &amp; revenue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Reported Revenue +6.7%; FXN +9.4%</w:t>
      </w:r>
    </w:p>
    <w:p>
      <w:pPr>
        <w:ind w:left="320" w:hanging="312"/>
        <w:spacing w:after="0" w:line="190" w:lineRule="auto"/>
        <w:tabs>
          <w:tab w:leader="none" w:pos="3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#1 value creator, delivering more revenue growth for retail customers than all FMCG peers</w:t>
      </w:r>
      <w:r>
        <w:rPr>
          <w:rFonts w:ascii="Arial" w:cs="Arial" w:eastAsia="Arial" w:hAnsi="Arial"/>
          <w:sz w:val="21"/>
          <w:szCs w:val="21"/>
          <w:color w:val="auto"/>
          <w:vertAlign w:val="superscript"/>
        </w:rPr>
        <w:t>[5]</w:t>
      </w:r>
    </w:p>
    <w:p>
      <w:pPr>
        <w:ind w:left="320" w:hanging="312"/>
        <w:spacing w:after="0" w:line="183" w:lineRule="auto"/>
        <w:tabs>
          <w:tab w:leader="none" w:pos="32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NARTD category grew</w:t>
      </w:r>
      <w:r>
        <w:rPr>
          <w:rFonts w:ascii="Arial" w:cs="Arial" w:eastAsia="Arial" w:hAnsi="Arial"/>
          <w:sz w:val="20"/>
          <w:szCs w:val="20"/>
          <w:color w:val="auto"/>
          <w:vertAlign w:val="superscript"/>
        </w:rPr>
        <w:t>[5]</w:t>
      </w:r>
      <w:r>
        <w:rPr>
          <w:rFonts w:ascii="Arial" w:cs="Arial" w:eastAsia="Arial" w:hAnsi="Arial"/>
          <w:sz w:val="15"/>
          <w:szCs w:val="15"/>
          <w:color w:val="auto"/>
        </w:rPr>
        <w:t>: +4% value, +3% volume</w:t>
      </w:r>
    </w:p>
    <w:p>
      <w:pPr>
        <w:ind w:left="320" w:hanging="312"/>
        <w:spacing w:after="0" w:line="187" w:lineRule="auto"/>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NARTD YTD value share</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+30bps (Europe +30bps, APS flat)</w:t>
      </w:r>
    </w:p>
    <w:p>
      <w:pPr>
        <w:ind w:left="320" w:hanging="312"/>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Transactions slightly behind volume growth: ahead in APS &amp; behind in Europe, principally reflecting growth of large format packs &amp; earlier Easter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Reported volume +8.5%; comparable +1.6%</w:t>
      </w:r>
      <w:r>
        <w:rPr>
          <w:rFonts w:ascii="Arial" w:cs="Arial" w:eastAsia="Arial" w:hAnsi="Arial"/>
          <w:sz w:val="21"/>
          <w:szCs w:val="21"/>
          <w:b w:val="1"/>
          <w:bCs w:val="1"/>
          <w:color w:val="auto"/>
          <w:vertAlign w:val="superscript"/>
        </w:rPr>
        <w:t>[4],[6]</w:t>
      </w: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Volume by geography</w:t>
      </w:r>
    </w:p>
    <w:p>
      <w:pPr>
        <w:spacing w:after="0" w:line="2" w:lineRule="exact"/>
        <w:rPr>
          <w:rFonts w:ascii="Arial" w:cs="Arial" w:eastAsia="Arial" w:hAnsi="Arial"/>
          <w:sz w:val="16"/>
          <w:szCs w:val="16"/>
          <w:color w:val="auto"/>
        </w:rPr>
      </w:pPr>
    </w:p>
    <w:p>
      <w:pPr>
        <w:ind w:left="640" w:hanging="308"/>
        <w:spacing w:after="0" w:line="187" w:lineRule="auto"/>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Europe +1.4%</w:t>
      </w:r>
      <w:r>
        <w:rPr>
          <w:rFonts w:ascii="Arial" w:cs="Arial" w:eastAsia="Arial" w:hAnsi="Arial"/>
          <w:sz w:val="21"/>
          <w:szCs w:val="21"/>
          <w:color w:val="auto"/>
          <w:vertAlign w:val="superscript"/>
        </w:rPr>
        <w:t>[4],[6]</w:t>
      </w:r>
      <w:r>
        <w:rPr>
          <w:rFonts w:ascii="Arial" w:cs="Arial" w:eastAsia="Arial" w:hAnsi="Arial"/>
          <w:sz w:val="16"/>
          <w:szCs w:val="16"/>
          <w:color w:val="auto"/>
        </w:rPr>
        <w:t xml:space="preserve"> reflecting great in-market execution, earlier Easter, share gains &amp; growth of large format packs in the Home channel</w:t>
      </w:r>
    </w:p>
    <w:p>
      <w:pPr>
        <w:ind w:left="640" w:hanging="308"/>
        <w:spacing w:after="0" w:line="203" w:lineRule="auto"/>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APS +1.9%</w:t>
      </w:r>
      <w:r>
        <w:rPr>
          <w:rFonts w:ascii="Arial" w:cs="Arial" w:eastAsia="Arial" w:hAnsi="Arial"/>
          <w:sz w:val="21"/>
          <w:szCs w:val="21"/>
          <w:color w:val="auto"/>
          <w:vertAlign w:val="superscript"/>
        </w:rPr>
        <w:t>[4],[6]</w:t>
      </w:r>
      <w:r>
        <w:rPr>
          <w:rFonts w:ascii="Arial" w:cs="Arial" w:eastAsia="Arial" w:hAnsi="Arial"/>
          <w:sz w:val="16"/>
          <w:szCs w:val="16"/>
          <w:color w:val="auto"/>
        </w:rPr>
        <w:t xml:space="preserve"> reflecting:</w:t>
      </w:r>
    </w:p>
    <w:p>
      <w:pPr>
        <w:ind w:left="1300" w:right="440" w:hanging="324"/>
        <w:spacing w:after="0" w:line="252" w:lineRule="auto"/>
        <w:rPr>
          <w:rFonts w:ascii="Arial" w:cs="Arial" w:eastAsia="Arial" w:hAnsi="Arial"/>
          <w:sz w:val="16"/>
          <w:szCs w:val="16"/>
          <w:color w:val="auto"/>
        </w:rPr>
      </w:pPr>
      <w:r>
        <w:rPr>
          <w:rFonts w:ascii="Arial" w:cs="Arial" w:eastAsia="Arial" w:hAnsi="Arial"/>
          <w:sz w:val="16"/>
          <w:szCs w:val="16"/>
          <w:color w:val="auto"/>
        </w:rPr>
        <w:t>– Australia/Pacific (AP): low single-digit volume increase driven by Pacific Islands &amp; PNG; mid single-digit increase excluding impact of Suntory alcohol exit</w:t>
      </w:r>
    </w:p>
    <w:p>
      <w:pPr>
        <w:spacing w:after="0" w:line="1" w:lineRule="exact"/>
        <w:rPr>
          <w:rFonts w:ascii="Arial" w:cs="Arial" w:eastAsia="Arial" w:hAnsi="Arial"/>
          <w:sz w:val="16"/>
          <w:szCs w:val="16"/>
          <w:color w:val="auto"/>
        </w:rPr>
      </w:pPr>
    </w:p>
    <w:p>
      <w:pPr>
        <w:ind w:left="1300" w:right="340" w:hanging="324"/>
        <w:spacing w:after="0" w:line="249" w:lineRule="auto"/>
        <w:rPr>
          <w:rFonts w:ascii="Arial" w:cs="Arial" w:eastAsia="Arial" w:hAnsi="Arial"/>
          <w:sz w:val="16"/>
          <w:szCs w:val="16"/>
          <w:color w:val="auto"/>
        </w:rPr>
      </w:pPr>
      <w:r>
        <w:rPr>
          <w:rFonts w:ascii="Arial" w:cs="Arial" w:eastAsia="Arial" w:hAnsi="Arial"/>
          <w:sz w:val="16"/>
          <w:szCs w:val="16"/>
          <w:color w:val="auto"/>
        </w:rPr>
        <w:t>– Southeast Asia (SEA): low single-digit volume growth reflecting the return to more normalised growth in the Philippines &amp; encouraging sparkling volumes in Indonesia</w:t>
      </w: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Volume by channel:</w:t>
      </w:r>
    </w:p>
    <w:p>
      <w:pPr>
        <w:spacing w:after="0" w:line="14" w:lineRule="exact"/>
        <w:rPr>
          <w:rFonts w:ascii="Arial" w:cs="Arial" w:eastAsia="Arial" w:hAnsi="Arial"/>
          <w:sz w:val="16"/>
          <w:szCs w:val="16"/>
          <w:color w:val="auto"/>
        </w:rPr>
      </w:pPr>
    </w:p>
    <w:p>
      <w:pPr>
        <w:ind w:left="640" w:hanging="308"/>
        <w:spacing w:after="0" w:line="191" w:lineRule="auto"/>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AFH +0.7%</w:t>
      </w:r>
      <w:r>
        <w:rPr>
          <w:rFonts w:ascii="Arial" w:cs="Arial" w:eastAsia="Arial" w:hAnsi="Arial"/>
          <w:sz w:val="21"/>
          <w:szCs w:val="21"/>
          <w:color w:val="auto"/>
          <w:vertAlign w:val="superscript"/>
        </w:rPr>
        <w:t>[4],[6]</w:t>
      </w:r>
      <w:r>
        <w:rPr>
          <w:rFonts w:ascii="Arial" w:cs="Arial" w:eastAsia="Arial" w:hAnsi="Arial"/>
          <w:sz w:val="16"/>
          <w:szCs w:val="16"/>
          <w:color w:val="auto"/>
        </w:rPr>
        <w:t>, Home +2.9%</w:t>
      </w:r>
      <w:r>
        <w:rPr>
          <w:rFonts w:ascii="Arial" w:cs="Arial" w:eastAsia="Arial" w:hAnsi="Arial"/>
          <w:sz w:val="21"/>
          <w:szCs w:val="21"/>
          <w:color w:val="auto"/>
          <w:vertAlign w:val="superscript"/>
        </w:rPr>
        <w:t>[4],[6]</w:t>
      </w:r>
    </w:p>
    <w:p>
      <w:pPr>
        <w:ind w:left="980"/>
        <w:spacing w:after="0"/>
        <w:rPr>
          <w:rFonts w:ascii="Arial" w:cs="Arial" w:eastAsia="Arial" w:hAnsi="Arial"/>
          <w:sz w:val="16"/>
          <w:szCs w:val="16"/>
          <w:color w:val="auto"/>
        </w:rPr>
      </w:pPr>
      <w:r>
        <w:rPr>
          <w:rFonts w:ascii="Arial" w:cs="Arial" w:eastAsia="Arial" w:hAnsi="Arial"/>
          <w:sz w:val="16"/>
          <w:szCs w:val="16"/>
          <w:color w:val="auto"/>
        </w:rPr>
        <w:t>–   Europe: AFH -1.2%, Home +3.1% supported by earlier Easter</w:t>
      </w:r>
    </w:p>
    <w:p>
      <w:pPr>
        <w:spacing w:after="0" w:line="14"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APS: AFH +2.5%, Home +2.4%</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per unit case +0.8%</w:t>
      </w:r>
      <w:r>
        <w:rPr>
          <w:rFonts w:ascii="Arial" w:cs="Arial" w:eastAsia="Arial" w:hAnsi="Arial"/>
          <w:sz w:val="21"/>
          <w:szCs w:val="21"/>
          <w:color w:val="auto"/>
          <w:vertAlign w:val="superscript"/>
        </w:rPr>
        <w:t>[2],[3]</w:t>
      </w:r>
      <w:r>
        <w:rPr>
          <w:rFonts w:ascii="Arial" w:cs="Arial" w:eastAsia="Arial" w:hAnsi="Arial"/>
          <w:sz w:val="16"/>
          <w:szCs w:val="16"/>
          <w:color w:val="auto"/>
        </w:rPr>
        <w:t xml:space="preserve"> reflecting positive mix, headline pricing, Suntory alcohol exit &amp; French sugar tax</w:t>
      </w:r>
    </w:p>
    <w:p>
      <w:pPr>
        <w:ind w:left="660" w:right="120" w:hanging="328"/>
        <w:spacing w:after="0" w:line="255"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Europe: +1.3% reflecting solid brand mix, headline price increases in France, Iberia (Q1) &amp; Germany (Q3’25), French sugar tax, offset by negative pack mix impact from growth of large format packs</w:t>
      </w:r>
    </w:p>
    <w:p>
      <w:pPr>
        <w:ind w:left="700" w:hanging="368"/>
        <w:spacing w:after="0"/>
        <w:tabs>
          <w:tab w:leader="none" w:pos="7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APS: -0.3% reflecting positive brand &amp; pack mix, headline price increases &amp; promotional optimisation, offset by Suntory alcohol exit (~3% impact)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&amp; Other</w:t>
      </w:r>
    </w:p>
    <w:p>
      <w:pPr>
        <w:spacing w:after="0" w:line="8" w:lineRule="exact"/>
        <w:rPr>
          <w:sz w:val="20"/>
          <w:szCs w:val="20"/>
          <w:color w:val="auto"/>
        </w:rPr>
      </w:pPr>
    </w:p>
    <w:p>
      <w:pPr>
        <w:ind w:left="340" w:right="180" w:hanging="332"/>
        <w:spacing w:after="0" w:line="213"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First half interim dividend per share of €0.82 (declared in Q1 &amp; payable on 27 May 2026), calculated as ~40% of the FY25 dividend. Reaffirming FY26 guidance for an annualised total dividend payout ratio of approximately 50%</w:t>
      </w:r>
      <w:r>
        <w:rPr>
          <w:rFonts w:ascii="Arial" w:cs="Arial" w:eastAsia="Arial" w:hAnsi="Arial"/>
          <w:sz w:val="21"/>
          <w:szCs w:val="21"/>
          <w:color w:val="auto"/>
          <w:vertAlign w:val="superscript"/>
        </w:rPr>
        <w:t>[7]</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Sustainability highlights:</w:t>
      </w:r>
    </w:p>
    <w:p>
      <w:pPr>
        <w:spacing w:after="0" w:line="5" w:lineRule="exact"/>
        <w:rPr>
          <w:rFonts w:ascii="Arial" w:cs="Arial" w:eastAsia="Arial" w:hAnsi="Arial"/>
          <w:sz w:val="16"/>
          <w:szCs w:val="16"/>
          <w:color w:val="auto"/>
        </w:rPr>
      </w:pPr>
    </w:p>
    <w:p>
      <w:pPr>
        <w:ind w:left="340" w:right="800"/>
        <w:spacing w:after="0" w:line="237" w:lineRule="auto"/>
        <w:rPr>
          <w:rFonts w:ascii="Arial" w:cs="Arial" w:eastAsia="Arial" w:hAnsi="Arial"/>
          <w:sz w:val="16"/>
          <w:szCs w:val="16"/>
          <w:color w:val="auto"/>
        </w:rPr>
      </w:pPr>
      <w:r>
        <w:rPr>
          <w:rFonts w:ascii="Arial" w:cs="Arial" w:eastAsia="Arial" w:hAnsi="Arial"/>
          <w:sz w:val="16"/>
          <w:szCs w:val="16"/>
          <w:color w:val="auto"/>
        </w:rPr>
        <w:t>Published updated sustainability action plan, "This is Forward", to include the Philippines (webinar scheduled for 30 April (contact IR team for registration details))</w:t>
      </w:r>
    </w:p>
    <w:p>
      <w:pPr>
        <w:spacing w:after="0" w:line="1" w:lineRule="exact"/>
        <w:rPr>
          <w:rFonts w:ascii="Arial" w:cs="Arial" w:eastAsia="Arial" w:hAnsi="Arial"/>
          <w:sz w:val="16"/>
          <w:szCs w:val="16"/>
          <w:color w:val="auto"/>
        </w:rPr>
      </w:pPr>
    </w:p>
    <w:p>
      <w:pPr>
        <w:ind w:left="660" w:right="680" w:hanging="328"/>
        <w:spacing w:after="0" w:line="252"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 details &amp; FY25 sustainability progress data, see our latest Annual Report: https://www.cocacolaep.com/investors/financial-reports-and-results/latest-annual-report/</w:t>
      </w:r>
    </w:p>
    <w:p>
      <w:pPr>
        <w:spacing w:after="0" w:line="1" w:lineRule="exact"/>
        <w:rPr>
          <w:rFonts w:ascii="Arial" w:cs="Arial" w:eastAsia="Arial" w:hAnsi="Arial"/>
          <w:sz w:val="16"/>
          <w:szCs w:val="16"/>
          <w:color w:val="auto"/>
        </w:rPr>
      </w:pPr>
    </w:p>
    <w:p>
      <w:pPr>
        <w:ind w:left="660" w:right="720" w:hanging="328"/>
        <w:spacing w:after="0" w:line="270"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Updated short &amp; long-term GHG emissions targets validated by SBTi. These now include emissions from the Philippines &amp; Forest, Land &amp; Agriculture (FLAG) targets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Volume % refers to comparable movements unless otherwise stated</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REAFFIRMING FY26 GUIDANCE</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Outlook for FY26 reflects current assessment of market conditions. Unless stated otherwise, guidance is on a comparable &amp; FX-neutral basis.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growth of 3% to 4%</w:t>
      </w:r>
    </w:p>
    <w:p>
      <w:pPr>
        <w:spacing w:after="0" w:line="2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Six extra days in Q1, six fewer in Q4</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Impact from exit of Suntory alcohol distribution in Australia (ended June ‘25) &amp; NZ (ended Dec '25): FY impact on group revenue ~0.5%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Cost of sales per UC: </w:t>
      </w:r>
      <w:r>
        <w:rPr>
          <w:rFonts w:ascii="Arial" w:cs="Arial" w:eastAsia="Arial" w:hAnsi="Arial"/>
          <w:sz w:val="16"/>
          <w:szCs w:val="16"/>
          <w:color w:val="auto"/>
        </w:rPr>
        <w:t>comparable growth of ~1.5%</w:t>
      </w:r>
    </w:p>
    <w:p>
      <w:pPr>
        <w:spacing w:after="0" w:line="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Commodities hedged at ~85% for FY26</w:t>
      </w:r>
    </w:p>
    <w:p>
      <w:pPr>
        <w:spacing w:after="0" w:line="14" w:lineRule="exact"/>
        <w:rPr>
          <w:rFonts w:ascii="Arial" w:cs="Arial" w:eastAsia="Arial" w:hAnsi="Arial"/>
          <w:sz w:val="16"/>
          <w:szCs w:val="16"/>
          <w:color w:val="auto"/>
        </w:rPr>
      </w:pPr>
    </w:p>
    <w:p>
      <w:pPr>
        <w:ind w:right="5460" w:firstLine="332"/>
        <w:spacing w:after="0" w:line="249" w:lineRule="auto"/>
        <w:tabs>
          <w:tab w:leader="none" w:pos="637"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Concentrate directly linked to revenue per UC through incidence pricing </w:t>
      </w:r>
      <w:r>
        <w:rPr>
          <w:rFonts w:ascii="Arial" w:cs="Arial" w:eastAsia="Arial" w:hAnsi="Arial"/>
          <w:sz w:val="16"/>
          <w:szCs w:val="16"/>
          <w:b w:val="1"/>
          <w:bCs w:val="1"/>
          <w:color w:val="auto"/>
        </w:rPr>
        <w:t xml:space="preserve">Operating profit: </w:t>
      </w:r>
      <w:r>
        <w:rPr>
          <w:rFonts w:ascii="Arial" w:cs="Arial" w:eastAsia="Arial" w:hAnsi="Arial"/>
          <w:sz w:val="16"/>
          <w:szCs w:val="16"/>
          <w:color w:val="auto"/>
        </w:rPr>
        <w:t>growth of ~7%</w:t>
      </w:r>
    </w:p>
    <w:p>
      <w:pPr>
        <w:spacing w:after="0"/>
        <w:rPr>
          <w:rFonts w:ascii="Arial" w:cs="Arial" w:eastAsia="Arial" w:hAnsi="Arial"/>
          <w:sz w:val="16"/>
          <w:szCs w:val="16"/>
          <w:color w:val="auto"/>
        </w:rPr>
      </w:pPr>
      <w:r>
        <w:rPr>
          <w:rFonts w:ascii="Arial" w:cs="Arial" w:eastAsia="Arial" w:hAnsi="Arial"/>
          <w:sz w:val="16"/>
          <w:szCs w:val="16"/>
          <w:b w:val="1"/>
          <w:bCs w:val="1"/>
          <w:color w:val="auto"/>
        </w:rPr>
        <w:t xml:space="preserve">Comparable effective tax rate: </w:t>
      </w:r>
      <w:r>
        <w:rPr>
          <w:rFonts w:ascii="Arial" w:cs="Arial" w:eastAsia="Arial" w:hAnsi="Arial"/>
          <w:sz w:val="16"/>
          <w:szCs w:val="16"/>
          <w:color w:val="auto"/>
        </w:rPr>
        <w:t>~26%</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 xml:space="preserve">CAPEX: </w:t>
      </w:r>
      <w:r>
        <w:rPr>
          <w:rFonts w:ascii="Arial" w:cs="Arial" w:eastAsia="Arial" w:hAnsi="Arial"/>
          <w:sz w:val="16"/>
          <w:szCs w:val="16"/>
          <w:color w:val="auto"/>
        </w:rPr>
        <w:t>~5% of revenue (including leases)</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 xml:space="preserve">Comparable free cash flow: </w:t>
      </w:r>
      <w:r>
        <w:rPr>
          <w:rFonts w:ascii="Arial" w:cs="Arial" w:eastAsia="Arial" w:hAnsi="Arial"/>
          <w:sz w:val="16"/>
          <w:szCs w:val="16"/>
          <w:color w:val="auto"/>
        </w:rPr>
        <w:t>at least €1.7bn</w:t>
      </w:r>
    </w:p>
    <w:p>
      <w:pPr>
        <w:spacing w:after="0" w:line="18" w:lineRule="exact"/>
        <w:rPr>
          <w:rFonts w:ascii="Arial" w:cs="Arial" w:eastAsia="Arial" w:hAnsi="Arial"/>
          <w:sz w:val="16"/>
          <w:szCs w:val="16"/>
          <w:color w:val="auto"/>
        </w:rPr>
      </w:pPr>
    </w:p>
    <w:p>
      <w:pPr>
        <w:spacing w:after="0" w:line="185" w:lineRule="auto"/>
        <w:rPr>
          <w:rFonts w:ascii="Arial" w:cs="Arial" w:eastAsia="Arial" w:hAnsi="Arial"/>
          <w:sz w:val="16"/>
          <w:szCs w:val="16"/>
          <w:color w:val="auto"/>
        </w:rPr>
      </w:pPr>
      <w:r>
        <w:rPr>
          <w:rFonts w:ascii="Arial" w:cs="Arial" w:eastAsia="Arial" w:hAnsi="Arial"/>
          <w:sz w:val="16"/>
          <w:szCs w:val="16"/>
          <w:b w:val="1"/>
          <w:bCs w:val="1"/>
          <w:color w:val="auto"/>
        </w:rPr>
        <w:t xml:space="preserve">Dividend payout ratio: </w:t>
      </w:r>
      <w:r>
        <w:rPr>
          <w:rFonts w:ascii="Arial" w:cs="Arial" w:eastAsia="Arial" w:hAnsi="Arial"/>
          <w:sz w:val="16"/>
          <w:szCs w:val="16"/>
          <w:color w:val="auto"/>
        </w:rPr>
        <w:t>~50%</w:t>
      </w:r>
      <w:r>
        <w:rPr>
          <w:rFonts w:ascii="Arial" w:cs="Arial" w:eastAsia="Arial" w:hAnsi="Arial"/>
          <w:sz w:val="21"/>
          <w:szCs w:val="21"/>
          <w:color w:val="auto"/>
          <w:vertAlign w:val="superscript"/>
        </w:rPr>
        <w:t>[7]</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comparable EPS</w:t>
      </w:r>
    </w:p>
    <w:p>
      <w:pPr>
        <w:spacing w:after="0"/>
        <w:rPr>
          <w:rFonts w:ascii="Arial" w:cs="Arial" w:eastAsia="Arial" w:hAnsi="Arial"/>
          <w:sz w:val="16"/>
          <w:szCs w:val="16"/>
          <w:color w:val="auto"/>
        </w:rPr>
      </w:pPr>
      <w:r>
        <w:rPr>
          <w:rFonts w:ascii="Arial" w:cs="Arial" w:eastAsia="Arial" w:hAnsi="Arial"/>
          <w:sz w:val="16"/>
          <w:szCs w:val="16"/>
          <w:b w:val="1"/>
          <w:bCs w:val="1"/>
          <w:color w:val="auto"/>
        </w:rPr>
        <w:t xml:space="preserve">Share buyback: </w:t>
      </w:r>
      <w:r>
        <w:rPr>
          <w:rFonts w:ascii="Arial" w:cs="Arial" w:eastAsia="Arial" w:hAnsi="Arial"/>
          <w:sz w:val="16"/>
          <w:szCs w:val="16"/>
          <w:color w:val="auto"/>
        </w:rPr>
        <w:t>€1bn over the course of the year with €500m completed to date</w:t>
      </w:r>
      <w:r>
        <w:rPr>
          <w:rFonts w:ascii="Arial" w:cs="Arial" w:eastAsia="Arial" w:hAnsi="Arial"/>
          <w:sz w:val="21"/>
          <w:szCs w:val="21"/>
          <w:color w:val="auto"/>
          <w:vertAlign w:val="superscript"/>
        </w:rPr>
        <w:t>[14]</w:t>
      </w:r>
    </w:p>
    <w:p>
      <w:pPr>
        <w:sectPr>
          <w:pgSz w:w="11900" w:h="16838" w:orient="portrait"/>
          <w:cols w:equalWidth="0" w:num="1">
            <w:col w:w="11220"/>
          </w:cols>
          <w:pgMar w:left="320" w:top="6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Buyback of up to €1bn subject to further shareholder approval at the 2026 AGM</w:t>
      </w:r>
    </w:p>
    <w:p>
      <w:pPr>
        <w:sectPr>
          <w:pgSz w:w="11900" w:h="16838" w:orient="portrait"/>
          <w:cols w:equalWidth="0" w:num="1">
            <w:col w:w="11220"/>
          </w:cols>
          <w:pgMar w:left="320" w:top="657" w:right="359" w:bottom="1440" w:gutter="0" w:footer="0" w:header="0"/>
          <w:type w:val="continuous"/>
        </w:sectPr>
      </w:pPr>
    </w:p>
    <w:bookmarkStart w:id="4" w:name="page5"/>
    <w:bookmarkEnd w:id="4"/>
    <w:p>
      <w:pPr>
        <w:ind w:left="1064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166370</wp:posOffset>
            </wp:positionV>
            <wp:extent cx="166306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23495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Q1 Revenue Performance by Geography</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-146050</wp:posOffset>
            </wp:positionV>
            <wp:extent cx="688340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3400" cy="13716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60" w:type="dxa"/>
            <w:vAlign w:val="bottom"/>
            <w:gridSpan w:val="2"/>
          </w:tcPr>
          <w:p>
            <w:pPr>
              <w:spacing w:after="0"/>
              <w:rPr>
                <w:sz w:val="20"/>
                <w:szCs w:val="20"/>
                <w:color w:val="auto"/>
              </w:rPr>
            </w:pPr>
            <w:r>
              <w:rPr>
                <w:rFonts w:ascii="Arial" w:cs="Arial" w:eastAsia="Arial" w:hAnsi="Arial"/>
                <w:sz w:val="13"/>
                <w:szCs w:val="13"/>
                <w:i w:val="1"/>
                <w:iCs w:val="1"/>
                <w:color w:val="auto"/>
                <w:w w:val="99"/>
              </w:rPr>
              <w:t>alues are unaudited &amp; are on a comparable basis. All changes are versus prior year equivalent period unless stated otherwise.</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60" w:type="dxa"/>
            <w:vAlign w:val="bottom"/>
            <w:tcBorders>
              <w:bottom w:val="single" w:sz="8" w:color="CECECE"/>
            </w:tcBorders>
          </w:tcPr>
          <w:p>
            <w:pPr>
              <w:spacing w:after="0"/>
              <w:rPr>
                <w:sz w:val="19"/>
                <w:szCs w:val="19"/>
                <w:color w:val="auto"/>
              </w:rPr>
            </w:pPr>
          </w:p>
        </w:tc>
        <w:tc>
          <w:tcPr>
            <w:tcW w:w="1360" w:type="dxa"/>
            <w:vAlign w:val="bottom"/>
            <w:tcBorders>
              <w:bottom w:val="single" w:sz="8" w:color="CECECE"/>
            </w:tcBorders>
          </w:tcPr>
          <w:p>
            <w:pPr>
              <w:jc w:val="right"/>
              <w:ind w:right="448"/>
              <w:spacing w:after="0"/>
              <w:rPr>
                <w:sz w:val="20"/>
                <w:szCs w:val="20"/>
                <w:color w:val="auto"/>
              </w:rPr>
            </w:pPr>
            <w:r>
              <w:rPr>
                <w:rFonts w:ascii="Arial" w:cs="Arial" w:eastAsia="Arial" w:hAnsi="Arial"/>
                <w:sz w:val="14"/>
                <w:szCs w:val="14"/>
                <w:b w:val="1"/>
                <w:bCs w:val="1"/>
                <w:color w:val="auto"/>
              </w:rPr>
              <w:t>Q1</w:t>
            </w:r>
          </w:p>
        </w:tc>
        <w:tc>
          <w:tcPr>
            <w:tcW w:w="1360" w:type="dxa"/>
            <w:vAlign w:val="bottom"/>
            <w:tcBorders>
              <w:bottom w:val="single" w:sz="8" w:color="CECECE"/>
            </w:tcBorders>
          </w:tcPr>
          <w:p>
            <w:pPr>
              <w:spacing w:after="0"/>
              <w:rPr>
                <w:sz w:val="19"/>
                <w:szCs w:val="19"/>
                <w:color w:val="auto"/>
              </w:rPr>
            </w:pPr>
          </w:p>
        </w:tc>
      </w:tr>
      <w:tr>
        <w:trPr>
          <w:trHeight w:val="195"/>
        </w:trPr>
        <w:tc>
          <w:tcPr>
            <w:tcW w:w="8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Fx-neutral</w:t>
            </w:r>
          </w:p>
        </w:tc>
      </w:tr>
      <w:tr>
        <w:trPr>
          <w:trHeight w:val="203"/>
        </w:trPr>
        <w:tc>
          <w:tcPr>
            <w:tcW w:w="80" w:type="dxa"/>
            <w:vAlign w:val="bottom"/>
          </w:tcPr>
          <w:p>
            <w:pPr>
              <w:spacing w:after="0"/>
              <w:rPr>
                <w:sz w:val="17"/>
                <w:szCs w:val="17"/>
                <w:color w:val="auto"/>
              </w:rPr>
            </w:pPr>
          </w:p>
        </w:tc>
        <w:tc>
          <w:tcPr>
            <w:tcW w:w="7180" w:type="dxa"/>
            <w:vAlign w:val="bottom"/>
            <w:tcBorders>
              <w:bottom w:val="single" w:sz="8" w:color="F40009"/>
            </w:tcBorders>
          </w:tcPr>
          <w:p>
            <w:pPr>
              <w:spacing w:after="0"/>
              <w:rPr>
                <w:sz w:val="17"/>
                <w:szCs w:val="17"/>
                <w:color w:val="auto"/>
              </w:rPr>
            </w:pPr>
          </w:p>
        </w:tc>
        <w:tc>
          <w:tcPr>
            <w:tcW w:w="1260" w:type="dxa"/>
            <w:vAlign w:val="bottom"/>
            <w:tcBorders>
              <w:bottom w:val="single" w:sz="8" w:color="F40009"/>
            </w:tcBorders>
          </w:tcPr>
          <w:p>
            <w:pPr>
              <w:jc w:val="right"/>
              <w:ind w:right="268"/>
              <w:spacing w:after="0"/>
              <w:rPr>
                <w:sz w:val="20"/>
                <w:szCs w:val="20"/>
                <w:color w:val="auto"/>
              </w:rPr>
            </w:pPr>
            <w:r>
              <w:rPr>
                <w:rFonts w:ascii="Arial" w:cs="Arial" w:eastAsia="Arial" w:hAnsi="Arial"/>
                <w:sz w:val="14"/>
                <w:szCs w:val="14"/>
                <w:b w:val="1"/>
                <w:bCs w:val="1"/>
                <w:color w:val="auto"/>
              </w:rPr>
              <w:t>€ million</w:t>
            </w:r>
          </w:p>
        </w:tc>
        <w:tc>
          <w:tcPr>
            <w:tcW w:w="1360" w:type="dxa"/>
            <w:vAlign w:val="bottom"/>
            <w:tcBorders>
              <w:bottom w:val="single" w:sz="8" w:color="F40009"/>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360" w:type="dxa"/>
            <w:vAlign w:val="bottom"/>
            <w:tcBorders>
              <w:bottom w:val="single" w:sz="8" w:color="F40009"/>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38"/>
        </w:trPr>
        <w:tc>
          <w:tcPr>
            <w:tcW w:w="80" w:type="dxa"/>
            <w:vAlign w:val="bottom"/>
          </w:tcPr>
          <w:p>
            <w:pPr>
              <w:spacing w:after="0"/>
              <w:rPr>
                <w:sz w:val="20"/>
                <w:szCs w:val="20"/>
                <w:color w:val="auto"/>
              </w:rPr>
            </w:pPr>
          </w:p>
        </w:tc>
        <w:tc>
          <w:tcPr>
            <w:tcW w:w="7180" w:type="dxa"/>
            <w:vAlign w:val="bottom"/>
            <w:tcBorders>
              <w:bottom w:val="single" w:sz="8" w:color="ACACAC"/>
            </w:tcBorders>
          </w:tcPr>
          <w:p>
            <w:pPr>
              <w:ind w:left="20"/>
              <w:spacing w:after="0" w:line="237" w:lineRule="exact"/>
              <w:rPr>
                <w:sz w:val="20"/>
                <w:szCs w:val="20"/>
                <w:color w:val="auto"/>
              </w:rPr>
            </w:pPr>
            <w:r>
              <w:rPr>
                <w:rFonts w:ascii="Arial" w:cs="Arial" w:eastAsia="Arial" w:hAnsi="Arial"/>
                <w:sz w:val="27"/>
                <w:szCs w:val="27"/>
                <w:color w:val="auto"/>
                <w:vertAlign w:val="subscript"/>
              </w:rPr>
              <w:t>FBN</w:t>
            </w:r>
            <w:r>
              <w:rPr>
                <w:rFonts w:ascii="Arial" w:cs="Arial" w:eastAsia="Arial" w:hAnsi="Arial"/>
                <w:sz w:val="9"/>
                <w:szCs w:val="9"/>
                <w:color w:val="auto"/>
              </w:rPr>
              <w:t>[8]</w:t>
            </w:r>
          </w:p>
        </w:tc>
        <w:tc>
          <w:tcPr>
            <w:tcW w:w="126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1,286</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10.3 %</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9.6 %</w:t>
            </w:r>
          </w:p>
        </w:tc>
      </w:tr>
      <w:tr>
        <w:trPr>
          <w:trHeight w:val="192"/>
        </w:trPr>
        <w:tc>
          <w:tcPr>
            <w:tcW w:w="80" w:type="dxa"/>
            <w:vAlign w:val="bottom"/>
          </w:tcPr>
          <w:p>
            <w:pPr>
              <w:spacing w:after="0"/>
              <w:rPr>
                <w:sz w:val="16"/>
                <w:szCs w:val="16"/>
                <w:color w:val="auto"/>
              </w:rPr>
            </w:pPr>
          </w:p>
        </w:tc>
        <w:tc>
          <w:tcPr>
            <w:tcW w:w="71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Germany</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757</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10.3 %</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10.3 %</w:t>
            </w:r>
          </w:p>
        </w:tc>
      </w:tr>
      <w:tr>
        <w:trPr>
          <w:trHeight w:val="196"/>
        </w:trPr>
        <w:tc>
          <w:tcPr>
            <w:tcW w:w="80" w:type="dxa"/>
            <w:vAlign w:val="bottom"/>
          </w:tcPr>
          <w:p>
            <w:pPr>
              <w:spacing w:after="0"/>
              <w:rPr>
                <w:sz w:val="17"/>
                <w:szCs w:val="17"/>
                <w:color w:val="auto"/>
              </w:rPr>
            </w:pPr>
          </w:p>
        </w:tc>
        <w:tc>
          <w:tcPr>
            <w:tcW w:w="71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Great Britain</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822</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8.3 %</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12.5 %</w:t>
            </w:r>
          </w:p>
        </w:tc>
      </w:tr>
      <w:tr>
        <w:trPr>
          <w:trHeight w:val="241"/>
        </w:trPr>
        <w:tc>
          <w:tcPr>
            <w:tcW w:w="80" w:type="dxa"/>
            <w:vAlign w:val="bottom"/>
          </w:tcPr>
          <w:p>
            <w:pPr>
              <w:spacing w:after="0"/>
              <w:rPr>
                <w:sz w:val="20"/>
                <w:szCs w:val="20"/>
                <w:color w:val="auto"/>
              </w:rPr>
            </w:pPr>
          </w:p>
        </w:tc>
        <w:tc>
          <w:tcPr>
            <w:tcW w:w="71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Iberia</w:t>
            </w:r>
            <w:r>
              <w:rPr>
                <w:rFonts w:ascii="Arial" w:cs="Arial" w:eastAsia="Arial" w:hAnsi="Arial"/>
                <w:sz w:val="18"/>
                <w:szCs w:val="18"/>
                <w:color w:val="auto"/>
                <w:vertAlign w:val="superscript"/>
              </w:rPr>
              <w:t>[9]</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684</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6.5 %</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6.5 %</w:t>
            </w:r>
          </w:p>
        </w:tc>
      </w:tr>
      <w:tr>
        <w:trPr>
          <w:trHeight w:val="195"/>
        </w:trPr>
        <w:tc>
          <w:tcPr>
            <w:tcW w:w="80" w:type="dxa"/>
            <w:vAlign w:val="bottom"/>
          </w:tcPr>
          <w:p>
            <w:pPr>
              <w:spacing w:after="0"/>
              <w:rPr>
                <w:sz w:val="16"/>
                <w:szCs w:val="16"/>
                <w:color w:val="auto"/>
              </w:rPr>
            </w:pPr>
          </w:p>
        </w:tc>
        <w:tc>
          <w:tcPr>
            <w:tcW w:w="7180" w:type="dxa"/>
            <w:vAlign w:val="bottom"/>
            <w:tcBorders>
              <w:bottom w:val="single" w:sz="8" w:color="ACACAC"/>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 Europe</w:t>
            </w:r>
          </w:p>
        </w:tc>
        <w:tc>
          <w:tcPr>
            <w:tcW w:w="1260" w:type="dxa"/>
            <w:vAlign w:val="bottom"/>
            <w:tcBorders>
              <w:bottom w:val="single" w:sz="8" w:color="ACACAC"/>
            </w:tcBorders>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3,549</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9.1 %</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9.8 %</w:t>
            </w:r>
          </w:p>
        </w:tc>
      </w:tr>
      <w:tr>
        <w:trPr>
          <w:trHeight w:val="197"/>
        </w:trPr>
        <w:tc>
          <w:tcPr>
            <w:tcW w:w="80" w:type="dxa"/>
            <w:vAlign w:val="bottom"/>
          </w:tcPr>
          <w:p>
            <w:pPr>
              <w:spacing w:after="0"/>
              <w:rPr>
                <w:sz w:val="17"/>
                <w:szCs w:val="17"/>
                <w:color w:val="auto"/>
              </w:rPr>
            </w:pPr>
          </w:p>
        </w:tc>
        <w:tc>
          <w:tcPr>
            <w:tcW w:w="7180" w:type="dxa"/>
            <w:vAlign w:val="bottom"/>
            <w:tcBorders>
              <w:bottom w:val="single" w:sz="8" w:color="ACACAC"/>
            </w:tcBorders>
          </w:tcPr>
          <w:p>
            <w:pPr>
              <w:ind w:left="20"/>
              <w:spacing w:after="0" w:line="197" w:lineRule="exact"/>
              <w:rPr>
                <w:sz w:val="20"/>
                <w:szCs w:val="20"/>
                <w:color w:val="auto"/>
              </w:rPr>
            </w:pPr>
            <w:r>
              <w:rPr>
                <w:rFonts w:ascii="Arial" w:cs="Arial" w:eastAsia="Arial" w:hAnsi="Arial"/>
                <w:sz w:val="14"/>
                <w:szCs w:val="14"/>
                <w:color w:val="auto"/>
              </w:rPr>
              <w:t>Australia / Pacific</w:t>
            </w:r>
            <w:r>
              <w:rPr>
                <w:rFonts w:ascii="Arial" w:cs="Arial" w:eastAsia="Arial" w:hAnsi="Arial"/>
                <w:sz w:val="18"/>
                <w:szCs w:val="18"/>
                <w:color w:val="auto"/>
                <w:vertAlign w:val="superscript"/>
              </w:rPr>
              <w:t>[11]</w:t>
            </w:r>
          </w:p>
        </w:tc>
        <w:tc>
          <w:tcPr>
            <w:tcW w:w="126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877</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4.3 %</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7.5 %</w:t>
            </w:r>
          </w:p>
        </w:tc>
      </w:tr>
      <w:tr>
        <w:trPr>
          <w:trHeight w:val="196"/>
        </w:trPr>
        <w:tc>
          <w:tcPr>
            <w:tcW w:w="80" w:type="dxa"/>
            <w:vAlign w:val="bottom"/>
          </w:tcPr>
          <w:p>
            <w:pPr>
              <w:spacing w:after="0"/>
              <w:rPr>
                <w:sz w:val="17"/>
                <w:szCs w:val="17"/>
                <w:color w:val="auto"/>
              </w:rPr>
            </w:pPr>
          </w:p>
        </w:tc>
        <w:tc>
          <w:tcPr>
            <w:tcW w:w="7180" w:type="dxa"/>
            <w:vAlign w:val="bottom"/>
            <w:tcBorders>
              <w:bottom w:val="single" w:sz="8" w:color="B6B6B6"/>
            </w:tcBorders>
          </w:tcPr>
          <w:p>
            <w:pPr>
              <w:ind w:left="20"/>
              <w:spacing w:after="0" w:line="196" w:lineRule="exact"/>
              <w:rPr>
                <w:sz w:val="20"/>
                <w:szCs w:val="20"/>
                <w:color w:val="auto"/>
              </w:rPr>
            </w:pPr>
            <w:r>
              <w:rPr>
                <w:rFonts w:ascii="Arial" w:cs="Arial" w:eastAsia="Arial" w:hAnsi="Arial"/>
                <w:sz w:val="14"/>
                <w:szCs w:val="14"/>
                <w:color w:val="auto"/>
              </w:rPr>
              <w:t>Southeast Asia</w:t>
            </w:r>
            <w:r>
              <w:rPr>
                <w:rFonts w:ascii="Arial" w:cs="Arial" w:eastAsia="Arial" w:hAnsi="Arial"/>
                <w:sz w:val="18"/>
                <w:szCs w:val="18"/>
                <w:color w:val="auto"/>
                <w:vertAlign w:val="superscript"/>
              </w:rPr>
              <w:t>[12]</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575</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(3.4)%</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10.1 %</w:t>
            </w:r>
          </w:p>
        </w:tc>
      </w:tr>
      <w:tr>
        <w:trPr>
          <w:trHeight w:val="195"/>
        </w:trPr>
        <w:tc>
          <w:tcPr>
            <w:tcW w:w="80" w:type="dxa"/>
            <w:vAlign w:val="bottom"/>
          </w:tcPr>
          <w:p>
            <w:pPr>
              <w:spacing w:after="0"/>
              <w:rPr>
                <w:sz w:val="16"/>
                <w:szCs w:val="16"/>
                <w:color w:val="auto"/>
              </w:rPr>
            </w:pPr>
          </w:p>
        </w:tc>
        <w:tc>
          <w:tcPr>
            <w:tcW w:w="7180" w:type="dxa"/>
            <w:vAlign w:val="bottom"/>
            <w:tcBorders>
              <w:bottom w:val="single" w:sz="8" w:color="ACACAC"/>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 APS</w:t>
            </w:r>
          </w:p>
        </w:tc>
        <w:tc>
          <w:tcPr>
            <w:tcW w:w="1260" w:type="dxa"/>
            <w:vAlign w:val="bottom"/>
            <w:tcBorders>
              <w:bottom w:val="single" w:sz="8" w:color="ACACAC"/>
            </w:tcBorders>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1,452</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1.1 %</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8.6 %</w:t>
            </w:r>
          </w:p>
        </w:tc>
      </w:tr>
      <w:tr>
        <w:trPr>
          <w:trHeight w:val="76"/>
        </w:trPr>
        <w:tc>
          <w:tcPr>
            <w:tcW w:w="80" w:type="dxa"/>
            <w:vAlign w:val="bottom"/>
          </w:tcPr>
          <w:p>
            <w:pPr>
              <w:spacing w:after="0"/>
              <w:rPr>
                <w:sz w:val="6"/>
                <w:szCs w:val="6"/>
                <w:color w:val="auto"/>
              </w:rPr>
            </w:pPr>
          </w:p>
        </w:tc>
        <w:tc>
          <w:tcPr>
            <w:tcW w:w="7180" w:type="dxa"/>
            <w:vAlign w:val="bottom"/>
            <w:tcBorders>
              <w:bottom w:val="single" w:sz="8" w:color="B6B6B6"/>
            </w:tcBorders>
          </w:tcPr>
          <w:p>
            <w:pPr>
              <w:spacing w:after="0"/>
              <w:rPr>
                <w:sz w:val="6"/>
                <w:szCs w:val="6"/>
                <w:color w:val="auto"/>
              </w:rPr>
            </w:pPr>
          </w:p>
        </w:tc>
        <w:tc>
          <w:tcPr>
            <w:tcW w:w="1260" w:type="dxa"/>
            <w:vAlign w:val="bottom"/>
            <w:tcBorders>
              <w:bottom w:val="single" w:sz="8" w:color="B6B6B6"/>
            </w:tcBorders>
          </w:tcPr>
          <w:p>
            <w:pPr>
              <w:spacing w:after="0"/>
              <w:rPr>
                <w:sz w:val="6"/>
                <w:szCs w:val="6"/>
                <w:color w:val="auto"/>
              </w:rPr>
            </w:pPr>
          </w:p>
        </w:tc>
        <w:tc>
          <w:tcPr>
            <w:tcW w:w="1360" w:type="dxa"/>
            <w:vAlign w:val="bottom"/>
            <w:tcBorders>
              <w:bottom w:val="single" w:sz="8" w:color="ACACAC"/>
            </w:tcBorders>
          </w:tcPr>
          <w:p>
            <w:pPr>
              <w:spacing w:after="0"/>
              <w:rPr>
                <w:sz w:val="6"/>
                <w:szCs w:val="6"/>
                <w:color w:val="auto"/>
              </w:rPr>
            </w:pPr>
          </w:p>
        </w:tc>
        <w:tc>
          <w:tcPr>
            <w:tcW w:w="1360" w:type="dxa"/>
            <w:vAlign w:val="bottom"/>
            <w:tcBorders>
              <w:bottom w:val="single" w:sz="8" w:color="B6B6B6"/>
            </w:tcBorders>
          </w:tcPr>
          <w:p>
            <w:pPr>
              <w:spacing w:after="0"/>
              <w:rPr>
                <w:sz w:val="6"/>
                <w:szCs w:val="6"/>
                <w:color w:val="auto"/>
              </w:rPr>
            </w:pPr>
          </w:p>
        </w:tc>
      </w:tr>
      <w:tr>
        <w:trPr>
          <w:trHeight w:val="195"/>
        </w:trPr>
        <w:tc>
          <w:tcPr>
            <w:tcW w:w="80" w:type="dxa"/>
            <w:vAlign w:val="bottom"/>
          </w:tcPr>
          <w:p>
            <w:pPr>
              <w:spacing w:after="0"/>
              <w:rPr>
                <w:sz w:val="16"/>
                <w:szCs w:val="16"/>
                <w:color w:val="auto"/>
              </w:rPr>
            </w:pPr>
          </w:p>
        </w:tc>
        <w:tc>
          <w:tcPr>
            <w:tcW w:w="7180" w:type="dxa"/>
            <w:vAlign w:val="bottom"/>
            <w:tcBorders>
              <w:bottom w:val="single" w:sz="8" w:color="ACACAC"/>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 CCEP</w:t>
            </w:r>
          </w:p>
        </w:tc>
        <w:tc>
          <w:tcPr>
            <w:tcW w:w="1260" w:type="dxa"/>
            <w:vAlign w:val="bottom"/>
            <w:tcBorders>
              <w:bottom w:val="single" w:sz="8" w:color="ACACAC"/>
            </w:tcBorders>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5,001</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6.7 %</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9.4 %</w:t>
            </w:r>
          </w:p>
        </w:tc>
      </w:tr>
    </w:tbl>
    <w:p>
      <w:pPr>
        <w:spacing w:after="0" w:line="90"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auto"/>
          <w:vertAlign w:val="subscript"/>
        </w:rPr>
        <w:t>FBN</w:t>
      </w:r>
      <w:r>
        <w:rPr>
          <w:rFonts w:ascii="Arial" w:cs="Arial" w:eastAsia="Arial" w:hAnsi="Arial"/>
          <w:sz w:val="11"/>
          <w:szCs w:val="11"/>
          <w:b w:val="1"/>
          <w:bCs w:val="1"/>
          <w:color w:val="auto"/>
        </w:rPr>
        <w:t>[8]</w:t>
      </w:r>
    </w:p>
    <w:p>
      <w:pPr>
        <w:spacing w:after="0" w:line="70" w:lineRule="exact"/>
        <w:rPr>
          <w:sz w:val="20"/>
          <w:szCs w:val="20"/>
          <w:color w:val="auto"/>
        </w:rPr>
      </w:pPr>
    </w:p>
    <w:p>
      <w:pPr>
        <w:ind w:left="400" w:hanging="312"/>
        <w:spacing w:after="0"/>
        <w:tabs>
          <w:tab w:leader="none" w:pos="40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Low single-digit volume decline with growth in the Netherlands &amp; Sweden offset by France.</w:t>
      </w:r>
    </w:p>
    <w:p>
      <w:pPr>
        <w:spacing w:after="0" w:line="5" w:lineRule="exact"/>
        <w:rPr>
          <w:rFonts w:ascii="Arial" w:cs="Arial" w:eastAsia="Arial" w:hAnsi="Arial"/>
          <w:sz w:val="16"/>
          <w:szCs w:val="16"/>
          <w:b w:val="1"/>
          <w:bCs w:val="1"/>
          <w:color w:val="auto"/>
        </w:rPr>
      </w:pPr>
    </w:p>
    <w:p>
      <w:pPr>
        <w:ind w:left="400" w:hanging="312"/>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Continued double-digit growth in Monster across the region supported by innovation &amp; distribution gains.</w:t>
      </w:r>
    </w:p>
    <w:p>
      <w:pPr>
        <w:spacing w:after="0" w:line="14" w:lineRule="exact"/>
        <w:rPr>
          <w:rFonts w:ascii="Arial" w:cs="Arial" w:eastAsia="Arial" w:hAnsi="Arial"/>
          <w:sz w:val="16"/>
          <w:szCs w:val="16"/>
          <w:color w:val="auto"/>
        </w:rPr>
      </w:pPr>
    </w:p>
    <w:p>
      <w:pPr>
        <w:ind w:left="420" w:right="180" w:hanging="332"/>
        <w:spacing w:after="0" w:line="249" w:lineRule="auto"/>
        <w:tabs>
          <w:tab w:leader="none" w:pos="409" w:val="left"/>
        </w:tabs>
        <w:numPr>
          <w:ilvl w:val="0"/>
          <w:numId w:val="7"/>
        </w:numPr>
        <w:rPr>
          <w:rFonts w:ascii="Arial" w:cs="Arial" w:eastAsia="Arial" w:hAnsi="Arial"/>
          <w:sz w:val="16"/>
          <w:szCs w:val="16"/>
          <w:color w:val="auto"/>
        </w:rPr>
      </w:pPr>
      <w:r>
        <w:rPr>
          <w:rFonts w:ascii="Arial" w:cs="Arial" w:eastAsia="Arial" w:hAnsi="Arial"/>
          <w:sz w:val="16"/>
          <w:szCs w:val="16"/>
          <w:color w:val="auto"/>
        </w:rPr>
        <w:t>Low single-digit decline in Coca-Cola TM with strong growth of Zero Sugar more than offset by decline of Original Taste in France, following increased sugar tax in March ‘25.</w:t>
      </w:r>
    </w:p>
    <w:p>
      <w:pPr>
        <w:ind w:left="400" w:hanging="312"/>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Growth in 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reflects price increases, French sugar tax &amp; positive mix effect from growth of Monster &amp; small format packs.</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Germany</w:t>
      </w:r>
    </w:p>
    <w:p>
      <w:pPr>
        <w:spacing w:after="0" w:line="8" w:lineRule="exact"/>
        <w:rPr>
          <w:sz w:val="20"/>
          <w:szCs w:val="20"/>
          <w:color w:val="auto"/>
        </w:rPr>
      </w:pPr>
    </w:p>
    <w:p>
      <w:pPr>
        <w:ind w:left="400" w:hanging="312"/>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Low single-digit volume growth supported by double-digit growth of Coca-Cola Zero Sugar &amp; strong double-digit growth in Monster.</w:t>
      </w:r>
    </w:p>
    <w:p>
      <w:pPr>
        <w:spacing w:after="0" w:line="14" w:lineRule="exact"/>
        <w:rPr>
          <w:rFonts w:ascii="Arial" w:cs="Arial" w:eastAsia="Arial" w:hAnsi="Arial"/>
          <w:sz w:val="16"/>
          <w:szCs w:val="16"/>
          <w:color w:val="auto"/>
        </w:rPr>
      </w:pPr>
    </w:p>
    <w:p>
      <w:pPr>
        <w:ind w:left="400" w:hanging="312"/>
        <w:spacing w:after="0" w:line="191"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Low single-digit growth in 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supported by headline price increase in Q3’25.</w:t>
      </w:r>
    </w:p>
    <w:p>
      <w:pPr>
        <w:ind w:left="400" w:hanging="312"/>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Also reflects positive mix effect from growth of Monster offset by growth of large format packs in the Home channel.</w:t>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Great Britain</w:t>
      </w:r>
    </w:p>
    <w:p>
      <w:pPr>
        <w:spacing w:after="0" w:line="8" w:lineRule="exact"/>
        <w:rPr>
          <w:sz w:val="20"/>
          <w:szCs w:val="20"/>
          <w:color w:val="auto"/>
        </w:rPr>
      </w:pPr>
    </w:p>
    <w:p>
      <w:pPr>
        <w:ind w:left="420" w:right="480" w:hanging="332"/>
        <w:spacing w:after="0" w:line="252" w:lineRule="auto"/>
        <w:tabs>
          <w:tab w:leader="none" w:pos="409" w:val="left"/>
        </w:tabs>
        <w:numPr>
          <w:ilvl w:val="0"/>
          <w:numId w:val="9"/>
        </w:numPr>
        <w:rPr>
          <w:rFonts w:ascii="Arial" w:cs="Arial" w:eastAsia="Arial" w:hAnsi="Arial"/>
          <w:sz w:val="16"/>
          <w:szCs w:val="16"/>
          <w:color w:val="auto"/>
        </w:rPr>
      </w:pPr>
      <w:r>
        <w:rPr>
          <w:rFonts w:ascii="Arial" w:cs="Arial" w:eastAsia="Arial" w:hAnsi="Arial"/>
          <w:sz w:val="16"/>
          <w:szCs w:val="16"/>
          <w:color w:val="auto"/>
        </w:rPr>
        <w:t>Mid single-digit volume growth driven by Coca-Cola Zero Sugar, Diet Coke &amp; Monster, supported by launch of Coca-Cola Cherry &amp; Cherry Float &amp; Monster Viking Berry. Volumes also benefitted from new Smartwater listings &amp; growth in Powerade.</w:t>
      </w:r>
    </w:p>
    <w:p>
      <w:pPr>
        <w:spacing w:after="0" w:line="1" w:lineRule="exact"/>
        <w:rPr>
          <w:rFonts w:ascii="Arial" w:cs="Arial" w:eastAsia="Arial" w:hAnsi="Arial"/>
          <w:sz w:val="16"/>
          <w:szCs w:val="16"/>
          <w:color w:val="auto"/>
        </w:rPr>
      </w:pPr>
    </w:p>
    <w:p>
      <w:pPr>
        <w:ind w:left="400" w:hanging="312"/>
        <w:spacing w:after="0"/>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flat with positive brand mix offset by growth of large format packs in the Home channel.</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Iberia</w:t>
      </w:r>
      <w:r>
        <w:rPr>
          <w:rFonts w:ascii="Arial" w:cs="Arial" w:eastAsia="Arial" w:hAnsi="Arial"/>
          <w:sz w:val="21"/>
          <w:szCs w:val="21"/>
          <w:b w:val="1"/>
          <w:bCs w:val="1"/>
          <w:color w:val="auto"/>
          <w:vertAlign w:val="superscript"/>
        </w:rPr>
        <w:t>[9]</w:t>
      </w:r>
    </w:p>
    <w:p>
      <w:pPr>
        <w:ind w:left="400" w:hanging="31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Slight volume decline with Portugal growth offset by Spain (slow start to the quarter which subsequently improved).</w:t>
      </w:r>
    </w:p>
    <w:p>
      <w:pPr>
        <w:spacing w:after="0" w:line="5" w:lineRule="exact"/>
        <w:rPr>
          <w:rFonts w:ascii="Arial" w:cs="Arial" w:eastAsia="Arial" w:hAnsi="Arial"/>
          <w:sz w:val="16"/>
          <w:szCs w:val="16"/>
          <w:color w:val="auto"/>
        </w:rPr>
      </w:pPr>
    </w:p>
    <w:p>
      <w:pPr>
        <w:ind w:left="420" w:right="400" w:hanging="332"/>
        <w:spacing w:after="0" w:line="255" w:lineRule="auto"/>
        <w:tabs>
          <w:tab w:leader="none" w:pos="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Strong Fuze Tea performance post completion of Nestea transition. Good growth in Flavours, driven by great Sprite &amp; Fanta execution &amp; continued strength in Aquarius &amp; Monster.</w:t>
      </w:r>
    </w:p>
    <w:p>
      <w:pPr>
        <w:ind w:left="400" w:hanging="31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Growth offset by decline in Coca-Cola Original Taste.</w:t>
      </w:r>
    </w:p>
    <w:p>
      <w:pPr>
        <w:spacing w:after="0" w:line="5" w:lineRule="exact"/>
        <w:rPr>
          <w:rFonts w:ascii="Arial" w:cs="Arial" w:eastAsia="Arial" w:hAnsi="Arial"/>
          <w:sz w:val="16"/>
          <w:szCs w:val="16"/>
          <w:color w:val="auto"/>
        </w:rPr>
      </w:pPr>
    </w:p>
    <w:p>
      <w:pPr>
        <w:ind w:left="400" w:hanging="31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marginally ahead, reflecting headline price increases offset by negative channel &amp; pack mix resulting from growth in QSR.</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Australia / Pacific</w:t>
      </w:r>
      <w:r>
        <w:rPr>
          <w:rFonts w:ascii="Arial" w:cs="Arial" w:eastAsia="Arial" w:hAnsi="Arial"/>
          <w:sz w:val="21"/>
          <w:szCs w:val="21"/>
          <w:b w:val="1"/>
          <w:bCs w:val="1"/>
          <w:color w:val="auto"/>
          <w:vertAlign w:val="superscript"/>
        </w:rPr>
        <w:t>[11]</w:t>
      </w:r>
    </w:p>
    <w:p>
      <w:pPr>
        <w:ind w:left="420" w:right="140" w:hanging="332"/>
        <w:spacing w:after="0" w:line="246" w:lineRule="auto"/>
        <w:tabs>
          <w:tab w:leader="none" w:pos="4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Mid single-digit volume increase (excluding alcohol) with growth in all markets; PNG &amp; Pacific Islands growing double-digit. Revenue excluding alcohol +13.2%.</w:t>
      </w:r>
    </w:p>
    <w:p>
      <w:pPr>
        <w:ind w:left="420" w:right="160" w:hanging="332"/>
        <w:spacing w:after="0" w:line="255" w:lineRule="auto"/>
        <w:tabs>
          <w:tab w:leader="none" w:pos="4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Strong Coca-Cola Zero Sugar performance driving overall growth in Coca-Cola TM volumes, with Grinder coffee seeing continued double-digit volume increase.</w:t>
      </w:r>
    </w:p>
    <w:p>
      <w:pPr>
        <w:ind w:left="400" w:hanging="312"/>
        <w:spacing w:after="0"/>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Energy volumes grew double-digit supported by the launch of Lando Norris during Q1 &amp; new watermelon Mother variant.</w:t>
      </w:r>
    </w:p>
    <w:p>
      <w:pPr>
        <w:spacing w:after="0" w:line="5" w:lineRule="exact"/>
        <w:rPr>
          <w:rFonts w:ascii="Arial" w:cs="Arial" w:eastAsia="Arial" w:hAnsi="Arial"/>
          <w:sz w:val="16"/>
          <w:szCs w:val="16"/>
          <w:color w:val="auto"/>
        </w:rPr>
      </w:pPr>
    </w:p>
    <w:p>
      <w:pPr>
        <w:ind w:left="420" w:right="120" w:hanging="332"/>
        <w:spacing w:after="0" w:line="226" w:lineRule="auto"/>
        <w:tabs>
          <w:tab w:leader="none" w:pos="4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reflects impact of Suntory exit in Australia &amp; New Zealand. Excluding alcohol, revenue/UC grew mid single-digit, supported by headline price increases &amp; mix benefit from growth of small pack formats &amp; Monster.</w:t>
      </w:r>
    </w:p>
    <w:p>
      <w:pPr>
        <w:spacing w:after="0" w:line="16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b w:val="1"/>
          <w:bCs w:val="1"/>
          <w:color w:val="auto"/>
        </w:rPr>
        <w:t>Southeast Asia</w:t>
      </w:r>
      <w:r>
        <w:rPr>
          <w:rFonts w:ascii="Arial" w:cs="Arial" w:eastAsia="Arial" w:hAnsi="Arial"/>
          <w:sz w:val="21"/>
          <w:szCs w:val="21"/>
          <w:b w:val="1"/>
          <w:bCs w:val="1"/>
          <w:color w:val="auto"/>
          <w:vertAlign w:val="superscript"/>
        </w:rPr>
        <w:t>[12]</w:t>
      </w:r>
    </w:p>
    <w:p>
      <w:pPr>
        <w:ind w:left="420" w:right="120" w:hanging="332"/>
        <w:spacing w:after="0" w:line="244" w:lineRule="auto"/>
        <w:tabs>
          <w:tab w:leader="none" w:pos="4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Low single-digit volume increase driven by the Philippines, with continued growth in Coca-Cola Original Taste with strong double-digit increase in Coke Zero Sugar &amp; Wilkins Pure water.</w:t>
      </w:r>
    </w:p>
    <w:p>
      <w:pPr>
        <w:ind w:left="420" w:hanging="332"/>
        <w:spacing w:after="0" w:line="257" w:lineRule="auto"/>
        <w:tabs>
          <w:tab w:leader="none" w:pos="4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Sparkling volumes in Indonesia continued to perform better supported by growth in Coke Zero Sugar &amp; Fanta, particularly over the festive Ramadan period. Volumes in Indonesia overall were slightly down driven by juices &amp; black tea (flavoured tea grew double-digit reflecting new blackcurrant variant).</w:t>
      </w:r>
    </w:p>
    <w:p>
      <w:pPr>
        <w:spacing w:after="0" w:line="1" w:lineRule="exact"/>
        <w:rPr>
          <w:rFonts w:ascii="Arial" w:cs="Arial" w:eastAsia="Arial" w:hAnsi="Arial"/>
          <w:sz w:val="16"/>
          <w:szCs w:val="16"/>
          <w:color w:val="auto"/>
        </w:rPr>
      </w:pPr>
    </w:p>
    <w:p>
      <w:pPr>
        <w:ind w:left="420" w:right="120" w:hanging="332"/>
        <w:spacing w:after="0" w:line="218" w:lineRule="auto"/>
        <w:tabs>
          <w:tab w:leader="none" w:pos="4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growth driven by headline price increases in the Philippines implemented during H2’25, partially offset by adverse product mix from the growth of water.</w:t>
      </w:r>
    </w:p>
    <w:p>
      <w:pPr>
        <w:sectPr>
          <w:pgSz w:w="11900" w:h="16838" w:orient="portrait"/>
          <w:cols w:equalWidth="0" w:num="1">
            <w:col w:w="11300"/>
          </w:cols>
          <w:pgMar w:left="240" w:top="657"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Q1 Volume Performance by Category</w:t>
      </w:r>
      <w:r>
        <w:rPr>
          <w:rFonts w:ascii="Arial" w:cs="Arial" w:eastAsia="Arial" w:hAnsi="Arial"/>
          <w:sz w:val="21"/>
          <w:szCs w:val="21"/>
          <w:b w:val="1"/>
          <w:bCs w:val="1"/>
          <w:color w:val="auto"/>
          <w:vertAlign w:val="superscript"/>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8834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3400" cy="13716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60" w:type="dxa"/>
            <w:vAlign w:val="bottom"/>
          </w:tcPr>
          <w:p>
            <w:pPr>
              <w:spacing w:after="0"/>
              <w:rPr>
                <w:sz w:val="20"/>
                <w:szCs w:val="20"/>
                <w:color w:val="auto"/>
              </w:rPr>
            </w:pPr>
            <w:r>
              <w:rPr>
                <w:rFonts w:ascii="Arial" w:cs="Arial" w:eastAsia="Arial" w:hAnsi="Arial"/>
                <w:sz w:val="13"/>
                <w:szCs w:val="13"/>
                <w:i w:val="1"/>
                <w:iCs w:val="1"/>
                <w:color w:val="auto"/>
              </w:rPr>
              <w:t>All values are unaudited &amp; are on a comparable basis. All changes are versus prior year equivalent period unless stated otherwise.</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7"/>
        </w:trPr>
        <w:tc>
          <w:tcPr>
            <w:tcW w:w="8460" w:type="dxa"/>
            <w:vAlign w:val="bottom"/>
          </w:tcPr>
          <w:p>
            <w:pPr>
              <w:spacing w:after="0"/>
              <w:rPr>
                <w:sz w:val="24"/>
                <w:szCs w:val="24"/>
                <w:color w:val="auto"/>
              </w:rPr>
            </w:pPr>
          </w:p>
        </w:tc>
        <w:tc>
          <w:tcPr>
            <w:tcW w:w="16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Q1</w:t>
            </w:r>
          </w:p>
        </w:tc>
        <w:tc>
          <w:tcPr>
            <w:tcW w:w="1160" w:type="dxa"/>
            <w:vAlign w:val="bottom"/>
            <w:tcBorders>
              <w:bottom w:val="single" w:sz="8" w:color="DBDBDB"/>
            </w:tcBorders>
          </w:tcPr>
          <w:p>
            <w:pPr>
              <w:spacing w:after="0"/>
              <w:rPr>
                <w:sz w:val="24"/>
                <w:szCs w:val="24"/>
                <w:color w:val="auto"/>
              </w:rPr>
            </w:pPr>
          </w:p>
        </w:tc>
      </w:tr>
      <w:tr>
        <w:trPr>
          <w:trHeight w:val="196"/>
        </w:trPr>
        <w:tc>
          <w:tcPr>
            <w:tcW w:w="8460" w:type="dxa"/>
            <w:vAlign w:val="bottom"/>
            <w:tcBorders>
              <w:bottom w:val="single" w:sz="8" w:color="F40009"/>
            </w:tcBorders>
          </w:tcPr>
          <w:p>
            <w:pPr>
              <w:spacing w:after="0"/>
              <w:rPr>
                <w:sz w:val="17"/>
                <w:szCs w:val="17"/>
                <w:color w:val="auto"/>
              </w:rPr>
            </w:pPr>
          </w:p>
        </w:tc>
        <w:tc>
          <w:tcPr>
            <w:tcW w:w="1600" w:type="dxa"/>
            <w:vAlign w:val="bottom"/>
            <w:tcBorders>
              <w:bottom w:val="single" w:sz="8" w:color="F40009"/>
            </w:tcBorders>
          </w:tcPr>
          <w:p>
            <w:pPr>
              <w:jc w:val="right"/>
              <w:ind w:right="508"/>
              <w:spacing w:after="0"/>
              <w:rPr>
                <w:sz w:val="20"/>
                <w:szCs w:val="20"/>
                <w:color w:val="auto"/>
              </w:rPr>
            </w:pPr>
            <w:r>
              <w:rPr>
                <w:rFonts w:ascii="Arial" w:cs="Arial" w:eastAsia="Arial" w:hAnsi="Arial"/>
                <w:sz w:val="14"/>
                <w:szCs w:val="14"/>
                <w:b w:val="1"/>
                <w:bCs w:val="1"/>
                <w:color w:val="auto"/>
              </w:rPr>
              <w:t>% of Total</w:t>
            </w:r>
          </w:p>
        </w:tc>
        <w:tc>
          <w:tcPr>
            <w:tcW w:w="1160" w:type="dxa"/>
            <w:vAlign w:val="bottom"/>
            <w:tcBorders>
              <w:bottom w:val="single" w:sz="8" w:color="F40009"/>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93"/>
        </w:trPr>
        <w:tc>
          <w:tcPr>
            <w:tcW w:w="8460" w:type="dxa"/>
            <w:vAlign w:val="bottom"/>
            <w:tcBorders>
              <w:bottom w:val="single" w:sz="8" w:color="B6B6B6"/>
            </w:tcBorders>
          </w:tcPr>
          <w:p>
            <w:pPr>
              <w:ind w:left="140"/>
              <w:spacing w:after="0"/>
              <w:rPr>
                <w:sz w:val="20"/>
                <w:szCs w:val="20"/>
                <w:color w:val="auto"/>
              </w:rPr>
            </w:pPr>
            <w:r>
              <w:rPr>
                <w:rFonts w:ascii="Arial" w:cs="Arial" w:eastAsia="Arial" w:hAnsi="Arial"/>
                <w:sz w:val="14"/>
                <w:szCs w:val="14"/>
                <w:color w:val="auto"/>
              </w:rPr>
              <w:t>Coca-Cola®</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58.2 %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0.7 %</w:t>
            </w:r>
          </w:p>
        </w:tc>
      </w:tr>
      <w:tr>
        <w:trPr>
          <w:trHeight w:val="196"/>
        </w:trPr>
        <w:tc>
          <w:tcPr>
            <w:tcW w:w="8460" w:type="dxa"/>
            <w:vAlign w:val="bottom"/>
            <w:tcBorders>
              <w:bottom w:val="single" w:sz="8" w:color="B6B6B6"/>
            </w:tcBorders>
          </w:tcPr>
          <w:p>
            <w:pPr>
              <w:ind w:left="140"/>
              <w:spacing w:after="0"/>
              <w:rPr>
                <w:sz w:val="20"/>
                <w:szCs w:val="20"/>
                <w:color w:val="auto"/>
              </w:rPr>
            </w:pPr>
            <w:r>
              <w:rPr>
                <w:rFonts w:ascii="Arial" w:cs="Arial" w:eastAsia="Arial" w:hAnsi="Arial"/>
                <w:sz w:val="14"/>
                <w:szCs w:val="14"/>
                <w:color w:val="auto"/>
              </w:rPr>
              <w:t>Flavours &amp; Mixers</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22.5 %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1.2 %</w:t>
            </w:r>
          </w:p>
        </w:tc>
      </w:tr>
      <w:tr>
        <w:trPr>
          <w:trHeight w:val="200"/>
        </w:trPr>
        <w:tc>
          <w:tcPr>
            <w:tcW w:w="8460" w:type="dxa"/>
            <w:vAlign w:val="bottom"/>
            <w:tcBorders>
              <w:bottom w:val="single" w:sz="8" w:color="B6B6B6"/>
            </w:tcBorders>
          </w:tcPr>
          <w:p>
            <w:pPr>
              <w:ind w:left="140"/>
              <w:spacing w:after="0" w:line="200" w:lineRule="exact"/>
              <w:rPr>
                <w:sz w:val="20"/>
                <w:szCs w:val="20"/>
                <w:color w:val="auto"/>
              </w:rPr>
            </w:pPr>
            <w:r>
              <w:rPr>
                <w:rFonts w:ascii="Arial" w:cs="Arial" w:eastAsia="Arial" w:hAnsi="Arial"/>
                <w:sz w:val="14"/>
                <w:szCs w:val="14"/>
                <w:color w:val="auto"/>
              </w:rPr>
              <w:t>Water, Sports, RTD Tea &amp; Coffee</w:t>
            </w:r>
            <w:r>
              <w:rPr>
                <w:rFonts w:ascii="Arial" w:cs="Arial" w:eastAsia="Arial" w:hAnsi="Arial"/>
                <w:sz w:val="18"/>
                <w:szCs w:val="18"/>
                <w:color w:val="auto"/>
                <w:vertAlign w:val="superscript"/>
              </w:rPr>
              <w:t>[13]</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11.4 %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1.7 %</w:t>
            </w:r>
          </w:p>
        </w:tc>
      </w:tr>
      <w:tr>
        <w:trPr>
          <w:trHeight w:val="192"/>
        </w:trPr>
        <w:tc>
          <w:tcPr>
            <w:tcW w:w="8460" w:type="dxa"/>
            <w:vAlign w:val="bottom"/>
            <w:tcBorders>
              <w:bottom w:val="single" w:sz="8" w:color="B6B6B6"/>
            </w:tcBorders>
          </w:tcPr>
          <w:p>
            <w:pPr>
              <w:ind w:left="140"/>
              <w:spacing w:after="0"/>
              <w:rPr>
                <w:sz w:val="20"/>
                <w:szCs w:val="20"/>
                <w:color w:val="auto"/>
              </w:rPr>
            </w:pPr>
            <w:r>
              <w:rPr>
                <w:rFonts w:ascii="Arial" w:cs="Arial" w:eastAsia="Arial" w:hAnsi="Arial"/>
                <w:sz w:val="14"/>
                <w:szCs w:val="14"/>
                <w:color w:val="auto"/>
              </w:rPr>
              <w:t>Other inc. Energy</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7.9 %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9.2 %</w:t>
            </w:r>
          </w:p>
        </w:tc>
      </w:tr>
      <w:tr>
        <w:trPr>
          <w:trHeight w:val="199"/>
        </w:trPr>
        <w:tc>
          <w:tcPr>
            <w:tcW w:w="8460" w:type="dxa"/>
            <w:vAlign w:val="bottom"/>
            <w:tcBorders>
              <w:bottom w:val="single" w:sz="8" w:color="B6B6B6"/>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B6B6B6"/>
            </w:tcBorders>
            <w:shd w:val="clear" w:color="auto" w:fill="E0E0E0"/>
          </w:tcPr>
          <w:p>
            <w:pPr>
              <w:jc w:val="right"/>
              <w:ind w:right="168"/>
              <w:spacing w:after="0"/>
              <w:rPr>
                <w:sz w:val="20"/>
                <w:szCs w:val="20"/>
                <w:color w:val="auto"/>
              </w:rPr>
            </w:pPr>
            <w:r>
              <w:rPr>
                <w:rFonts w:ascii="Arial" w:cs="Arial" w:eastAsia="Arial" w:hAnsi="Arial"/>
                <w:sz w:val="14"/>
                <w:szCs w:val="14"/>
                <w:b w:val="1"/>
                <w:bCs w:val="1"/>
                <w:color w:val="auto"/>
              </w:rPr>
              <w:t>100.0 %</w:t>
            </w:r>
          </w:p>
        </w:tc>
        <w:tc>
          <w:tcPr>
            <w:tcW w:w="1160" w:type="dxa"/>
            <w:vAlign w:val="bottom"/>
            <w:tcBorders>
              <w:bottom w:val="single" w:sz="8" w:color="B6B6B6"/>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1.6 %</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Coca-Cola®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+0.7%</w:t>
      </w: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Solid growth driven by Cherry float launch (Original Taste &amp; Zero Sugar) &amp; Premier League campaigns underpinned by elevated activation &amp; execution.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Original Taste -3.2% with continued growth in APS offset by Europe.</w:t>
      </w:r>
    </w:p>
    <w:p>
      <w:pPr>
        <w:spacing w:after="0" w:line="14" w:lineRule="exact"/>
        <w:rPr>
          <w:rFonts w:ascii="Arial" w:cs="Arial" w:eastAsia="Arial" w:hAnsi="Arial"/>
          <w:sz w:val="16"/>
          <w:szCs w:val="16"/>
          <w:color w:val="auto"/>
        </w:rPr>
      </w:pPr>
    </w:p>
    <w:p>
      <w:pPr>
        <w:ind w:left="340" w:right="140" w:hanging="332"/>
        <w:spacing w:after="0" w:line="270" w:lineRule="auto"/>
        <w:tabs>
          <w:tab w:leader="none" w:pos="3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Zero Sugar +10%, led by strong growth in Europe &amp; APS, supported by new variants &amp; Zero Caffeine launch in new black &amp; gold packaging. Improved Diet Coke performance supported by the new Cherry flavour &amp; Devil Wears Prada movie sequal campaign.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Flavours &amp; Mixers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+1.2%</w:t>
      </w: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Sprite +3.2% driven by high single-digit growth in Europe, reflecting launch of Sprite Chill, new listings in GB &amp; growth in Spain.</w:t>
      </w:r>
    </w:p>
    <w:p>
      <w:pPr>
        <w:spacing w:after="0" w:line="14" w:lineRule="exact"/>
        <w:rPr>
          <w:rFonts w:ascii="Arial" w:cs="Arial" w:eastAsia="Arial" w:hAnsi="Arial"/>
          <w:sz w:val="16"/>
          <w:szCs w:val="16"/>
          <w:color w:val="auto"/>
        </w:rPr>
      </w:pPr>
    </w:p>
    <w:p>
      <w:pPr>
        <w:ind w:left="340" w:right="420" w:hanging="332"/>
        <w:spacing w:after="0" w:line="257" w:lineRule="auto"/>
        <w:tabs>
          <w:tab w:leader="none" w:pos="3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Fanta broadly flat with overall performance supported by new flavours (e.g. festive fruit punch in Indonesia), Zero Sugar variants &amp; impactful X-box campaigns.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Continued momentum on Dr Pepper with high single-digit growth in GB supported by launch of new Cream swirl variant.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Water, Sports, RTD Tea &amp; Coffee</w:t>
      </w:r>
      <w:r>
        <w:rPr>
          <w:rFonts w:ascii="Arial" w:cs="Arial" w:eastAsia="Arial" w:hAnsi="Arial"/>
          <w:sz w:val="21"/>
          <w:szCs w:val="21"/>
          <w:b w:val="1"/>
          <w:bCs w:val="1"/>
          <w:color w:val="auto"/>
          <w:vertAlign w:val="superscript"/>
        </w:rPr>
        <w:t>[13]</w:t>
      </w:r>
    </w:p>
    <w:p>
      <w:pPr>
        <w:spacing w:after="0" w:line="228" w:lineRule="auto"/>
        <w:rPr>
          <w:sz w:val="20"/>
          <w:szCs w:val="20"/>
          <w:color w:val="auto"/>
        </w:rPr>
      </w:pPr>
      <w:r>
        <w:rPr>
          <w:rFonts w:ascii="Arial" w:cs="Arial" w:eastAsia="Arial" w:hAnsi="Arial"/>
          <w:sz w:val="16"/>
          <w:szCs w:val="16"/>
          <w:b w:val="1"/>
          <w:bCs w:val="1"/>
          <w:color w:val="auto"/>
        </w:rPr>
        <w:t>Q1 +1.7%</w:t>
      </w:r>
    </w:p>
    <w:p>
      <w:pPr>
        <w:spacing w:after="0" w:line="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Water +3.9% reflecting new Smartwater listings in GB, growth of Chaudfontaine in FBN &amp; Wilkins Pure in the Philippines.</w:t>
      </w:r>
    </w:p>
    <w:p>
      <w:pPr>
        <w:spacing w:after="0" w:line="14" w:lineRule="exact"/>
        <w:rPr>
          <w:rFonts w:ascii="Arial" w:cs="Arial" w:eastAsia="Arial" w:hAnsi="Arial"/>
          <w:sz w:val="16"/>
          <w:szCs w:val="16"/>
          <w:color w:val="auto"/>
        </w:rPr>
      </w:pPr>
    </w:p>
    <w:p>
      <w:pPr>
        <w:ind w:left="340" w:right="160" w:hanging="332"/>
        <w:spacing w:after="0" w:line="255" w:lineRule="auto"/>
        <w:tabs>
          <w:tab w:leader="none" w:pos="3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Sports +5.9% driven by continued growth of Aquarius in Spain &amp; high single-digit growth in Powerade (supported by new packs, flavours &amp; distribution gains).</w:t>
      </w: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RTD Tea &amp; Coffee -8.2% reflecting high single digit growth in Spain with Fuze Tea offset by decline in Indonesia.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 Energy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+9.2%</w:t>
      </w:r>
    </w:p>
    <w:p>
      <w:pPr>
        <w:ind w:left="340" w:right="140" w:hanging="332"/>
        <w:spacing w:after="0" w:line="252" w:lineRule="auto"/>
        <w:tabs>
          <w:tab w:leader="none" w:pos="3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Energy +21.3% driven by innovation (e.g. Viking Berry &amp; Ultra Ruby Red), distribution gains &amp; growth in multipacks &amp; original variants e.g. Ultra White. Energy share +250bps.</w:t>
      </w:r>
    </w:p>
    <w:p>
      <w:pPr>
        <w:spacing w:after="0" w:line="1" w:lineRule="exact"/>
        <w:rPr>
          <w:rFonts w:ascii="Arial" w:cs="Arial" w:eastAsia="Arial" w:hAnsi="Arial"/>
          <w:sz w:val="16"/>
          <w:szCs w:val="16"/>
          <w:color w:val="auto"/>
        </w:rPr>
      </w:pPr>
    </w:p>
    <w:p>
      <w:pPr>
        <w:ind w:left="340" w:right="180" w:hanging="332"/>
        <w:spacing w:after="0" w:line="270" w:lineRule="auto"/>
        <w:tabs>
          <w:tab w:leader="none" w:pos="3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ARTD momentum continued with launch of new Spiced rum Bacardi &amp; Coke (Aus &amp; GB), Absolut Sprite Pineapple &amp; new sleek cans for JD &amp; Coke in GB. Exit of Suntory alcohol distribution in Australia &amp; NZ impacted Q1 as previously announced.</w:t>
      </w:r>
    </w:p>
    <w:p>
      <w:pPr>
        <w:sectPr>
          <w:pgSz w:w="11900" w:h="16838" w:orient="portrait"/>
          <w:cols w:equalWidth="0" w:num="1">
            <w:col w:w="11220"/>
          </w:cols>
          <w:pgMar w:left="320" w:top="657"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2"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22"/>
          <w:szCs w:val="22"/>
          <w:color w:val="auto"/>
        </w:rPr>
      </w:pPr>
      <w:r>
        <w:rPr>
          <w:rFonts w:ascii="Arial" w:cs="Arial" w:eastAsia="Arial" w:hAnsi="Arial"/>
          <w:sz w:val="16"/>
          <w:szCs w:val="16"/>
          <w:color w:val="auto"/>
        </w:rPr>
        <w:t>28 April 2026 at 12:00 BST, 13:00 CEST &amp; 7:00 a.m. EDT; accessible via www.cocacolaep.com</w:t>
      </w:r>
    </w:p>
    <w:p>
      <w:pPr>
        <w:spacing w:after="0" w:line="71" w:lineRule="exact"/>
        <w:rPr>
          <w:rFonts w:ascii="Arial" w:cs="Arial" w:eastAsia="Arial" w:hAnsi="Arial"/>
          <w:sz w:val="22"/>
          <w:szCs w:val="22"/>
          <w:color w:val="auto"/>
        </w:rPr>
      </w:pPr>
    </w:p>
    <w:p>
      <w:pPr>
        <w:ind w:left="240" w:hanging="232"/>
        <w:spacing w:after="0"/>
        <w:tabs>
          <w:tab w:leader="none" w:pos="240" w:val="left"/>
        </w:tabs>
        <w:numPr>
          <w:ilvl w:val="0"/>
          <w:numId w:val="16"/>
        </w:numPr>
        <w:rPr>
          <w:rFonts w:ascii="Arial" w:cs="Arial" w:eastAsia="Arial" w:hAnsi="Arial"/>
          <w:sz w:val="22"/>
          <w:szCs w:val="22"/>
          <w:color w:val="auto"/>
        </w:rPr>
      </w:pPr>
      <w:r>
        <w:rPr>
          <w:rFonts w:ascii="Arial" w:cs="Arial" w:eastAsia="Arial" w:hAnsi="Arial"/>
          <w:sz w:val="16"/>
          <w:szCs w:val="16"/>
          <w:color w:val="auto"/>
        </w:rPr>
        <w:t xml:space="preserve">Replay &amp; transcript will be available at </w:t>
      </w:r>
      <w:r>
        <w:rPr>
          <w:rFonts w:ascii="Arial" w:cs="Arial" w:eastAsia="Arial" w:hAnsi="Arial"/>
          <w:sz w:val="16"/>
          <w:szCs w:val="16"/>
          <w:color w:val="0000FF"/>
        </w:rPr>
        <w:t>www.cocacolaep.com</w:t>
      </w:r>
      <w:r>
        <w:rPr>
          <w:rFonts w:ascii="Arial" w:cs="Arial" w:eastAsia="Arial" w:hAnsi="Arial"/>
          <w:sz w:val="16"/>
          <w:szCs w:val="16"/>
          <w:color w:val="auto"/>
        </w:rPr>
        <w:t xml:space="preserve"> as soon as possible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4" w:lineRule="exact"/>
        <w:rPr>
          <w:sz w:val="20"/>
          <w:szCs w:val="20"/>
          <w:color w:val="auto"/>
        </w:rPr>
      </w:pPr>
    </w:p>
    <w:p>
      <w:pPr>
        <w:ind w:left="260" w:right="740" w:hanging="252"/>
        <w:spacing w:after="0" w:line="282" w:lineRule="auto"/>
        <w:tabs>
          <w:tab w:leader="none" w:pos="255" w:val="left"/>
        </w:tabs>
        <w:numPr>
          <w:ilvl w:val="0"/>
          <w:numId w:val="17"/>
        </w:numPr>
        <w:rPr>
          <w:rFonts w:ascii="Arial" w:cs="Arial" w:eastAsia="Arial" w:hAnsi="Arial"/>
          <w:sz w:val="22"/>
          <w:szCs w:val="22"/>
          <w:color w:val="auto"/>
        </w:rPr>
      </w:pPr>
      <w:r>
        <w:rPr>
          <w:rFonts w:ascii="Arial" w:cs="Arial" w:eastAsia="Arial" w:hAnsi="Arial"/>
          <w:sz w:val="16"/>
          <w:szCs w:val="16"/>
          <w:color w:val="auto"/>
        </w:rPr>
        <w:t>The CCEP Board of Directors declared a first half interim dividend of €0.82 per share. The interim dividend is payable on 27 May 2026 to those shareholders of record on 15 May 2026.</w:t>
      </w:r>
    </w:p>
    <w:p>
      <w:pPr>
        <w:spacing w:after="0" w:line="15" w:lineRule="exact"/>
        <w:rPr>
          <w:rFonts w:ascii="Arial" w:cs="Arial" w:eastAsia="Arial" w:hAnsi="Arial"/>
          <w:sz w:val="22"/>
          <w:szCs w:val="22"/>
          <w:color w:val="auto"/>
        </w:rPr>
      </w:pPr>
    </w:p>
    <w:p>
      <w:pPr>
        <w:ind w:left="240" w:hanging="232"/>
        <w:spacing w:after="0"/>
        <w:tabs>
          <w:tab w:leader="none" w:pos="240" w:val="left"/>
        </w:tabs>
        <w:numPr>
          <w:ilvl w:val="0"/>
          <w:numId w:val="17"/>
        </w:numPr>
        <w:rPr>
          <w:rFonts w:ascii="Arial" w:cs="Arial" w:eastAsia="Arial" w:hAnsi="Arial"/>
          <w:sz w:val="22"/>
          <w:szCs w:val="22"/>
          <w:color w:val="auto"/>
        </w:rPr>
      </w:pPr>
      <w:r>
        <w:rPr>
          <w:rFonts w:ascii="Arial" w:cs="Arial" w:eastAsia="Arial" w:hAnsi="Arial"/>
          <w:sz w:val="16"/>
          <w:szCs w:val="16"/>
          <w:color w:val="auto"/>
        </w:rPr>
        <w:t>CCEP will pay the interim dividend in euros to holders of shares on Euronext Amsterdam, the Spanish Stock Exchanges &amp; London Stock Exchange.</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publicly held shares will be converted into an equivalent US dollar amount using exchange rates issued by WM/Reuters taken at 16:00 GMT on 28</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April 2026. This translated amount will be posted on our website here:</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https://ir.cocacolaep.com/shareholder-information-and-tools/dividends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0"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CCEP Sustainability Webinar - This is Forward: 30 April 2026</w:t>
      </w:r>
    </w:p>
    <w:p>
      <w:pPr>
        <w:spacing w:after="0" w:line="59" w:lineRule="exact"/>
        <w:rPr>
          <w:rFonts w:ascii="Arial" w:cs="Arial" w:eastAsia="Arial" w:hAnsi="Arial"/>
          <w:sz w:val="16"/>
          <w:szCs w:val="16"/>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H1 2026 Results: 4 August 2026</w:t>
      </w:r>
    </w:p>
    <w:p>
      <w:pPr>
        <w:spacing w:after="0" w:line="74" w:lineRule="exact"/>
        <w:rPr>
          <w:rFonts w:ascii="Arial" w:cs="Arial" w:eastAsia="Arial" w:hAnsi="Arial"/>
          <w:sz w:val="16"/>
          <w:szCs w:val="16"/>
          <w:color w:val="auto"/>
        </w:rPr>
      </w:pPr>
    </w:p>
    <w:p>
      <w:pPr>
        <w:ind w:left="240" w:hanging="232"/>
        <w:spacing w:after="0"/>
        <w:tabs>
          <w:tab w:leader="none" w:pos="240" w:val="left"/>
        </w:tabs>
        <w:numPr>
          <w:ilvl w:val="0"/>
          <w:numId w:val="18"/>
        </w:numPr>
        <w:rPr>
          <w:rFonts w:ascii="Arial" w:cs="Arial" w:eastAsia="Arial" w:hAnsi="Arial"/>
          <w:sz w:val="22"/>
          <w:szCs w:val="22"/>
          <w:color w:val="auto"/>
        </w:rPr>
      </w:pPr>
      <w:r>
        <w:rPr>
          <w:rFonts w:ascii="Arial" w:cs="Arial" w:eastAsia="Arial" w:hAnsi="Arial"/>
          <w:sz w:val="16"/>
          <w:szCs w:val="16"/>
          <w:color w:val="auto"/>
        </w:rPr>
        <w:t>Financial calendar available here: https://ir.cocacolaep.com/financial-calendar/</w:t>
      </w:r>
    </w:p>
    <w:p>
      <w:pPr>
        <w:spacing w:after="0" w:line="68" w:lineRule="exact"/>
        <w:rPr>
          <w:rFonts w:ascii="Arial" w:cs="Arial" w:eastAsia="Arial" w:hAnsi="Arial"/>
          <w:sz w:val="22"/>
          <w:szCs w:val="22"/>
          <w:color w:val="auto"/>
        </w:rPr>
      </w:pPr>
    </w:p>
    <w:p>
      <w:pPr>
        <w:ind w:left="20"/>
        <w:spacing w:after="0"/>
        <w:rPr>
          <w:rFonts w:ascii="Arial" w:cs="Arial" w:eastAsia="Arial" w:hAnsi="Arial"/>
          <w:sz w:val="22"/>
          <w:szCs w:val="22"/>
          <w:color w:val="auto"/>
        </w:rPr>
      </w:pPr>
      <w:r>
        <w:rPr>
          <w:rFonts w:ascii="Arial" w:cs="Arial" w:eastAsia="Arial" w:hAnsi="Arial"/>
          <w:sz w:val="16"/>
          <w:szCs w:val="16"/>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Investor Relations</w:t>
            </w:r>
          </w:p>
        </w:tc>
        <w:tc>
          <w:tcPr>
            <w:tcW w:w="1040" w:type="dxa"/>
            <w:vAlign w:val="bottom"/>
            <w:gridSpan w:val="2"/>
          </w:tcPr>
          <w:p>
            <w:pPr>
              <w:spacing w:after="0"/>
              <w:rPr>
                <w:sz w:val="16"/>
                <w:szCs w:val="16"/>
                <w:color w:val="auto"/>
              </w:rPr>
            </w:pPr>
          </w:p>
        </w:tc>
        <w:tc>
          <w:tcPr>
            <w:tcW w:w="2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36"/>
        </w:trPr>
        <w:tc>
          <w:tcPr>
            <w:tcW w:w="2460" w:type="dxa"/>
            <w:vAlign w:val="bottom"/>
            <w:gridSpan w:val="3"/>
          </w:tcPr>
          <w:p>
            <w:pPr>
              <w:spacing w:after="0"/>
              <w:rPr>
                <w:sz w:val="20"/>
                <w:szCs w:val="20"/>
                <w:color w:val="auto"/>
              </w:rPr>
            </w:pPr>
            <w:r>
              <w:rPr>
                <w:rFonts w:ascii="Arial" w:cs="Arial" w:eastAsia="Arial" w:hAnsi="Arial"/>
                <w:sz w:val="16"/>
                <w:szCs w:val="16"/>
                <w:b w:val="1"/>
                <w:bCs w:val="1"/>
                <w:color w:val="auto"/>
              </w:rPr>
              <w:t>Sarah Willett</w:t>
            </w:r>
          </w:p>
        </w:tc>
        <w:tc>
          <w:tcPr>
            <w:tcW w:w="2680" w:type="dxa"/>
            <w:vAlign w:val="bottom"/>
          </w:tcPr>
          <w:p>
            <w:pPr>
              <w:ind w:left="500"/>
              <w:spacing w:after="0"/>
              <w:rPr>
                <w:sz w:val="20"/>
                <w:szCs w:val="20"/>
                <w:color w:val="auto"/>
              </w:rPr>
            </w:pPr>
            <w:r>
              <w:rPr>
                <w:rFonts w:ascii="Arial" w:cs="Arial" w:eastAsia="Arial" w:hAnsi="Arial"/>
                <w:sz w:val="16"/>
                <w:szCs w:val="16"/>
                <w:b w:val="1"/>
                <w:bCs w:val="1"/>
                <w:color w:val="auto"/>
              </w:rPr>
              <w:t>Matt Sharff</w:t>
            </w:r>
          </w:p>
        </w:tc>
        <w:tc>
          <w:tcPr>
            <w:tcW w:w="2900" w:type="dxa"/>
            <w:vAlign w:val="bottom"/>
          </w:tcPr>
          <w:p>
            <w:pPr>
              <w:ind w:left="780"/>
              <w:spacing w:after="0"/>
              <w:rPr>
                <w:sz w:val="20"/>
                <w:szCs w:val="20"/>
                <w:color w:val="auto"/>
              </w:rPr>
            </w:pPr>
            <w:r>
              <w:rPr>
                <w:rFonts w:ascii="Arial" w:cs="Arial" w:eastAsia="Arial" w:hAnsi="Arial"/>
                <w:sz w:val="16"/>
                <w:szCs w:val="16"/>
                <w:b w:val="1"/>
                <w:bCs w:val="1"/>
                <w:color w:val="auto"/>
              </w:rPr>
              <w:t>Samina Khan</w:t>
            </w:r>
          </w:p>
        </w:tc>
        <w:tc>
          <w:tcPr>
            <w:tcW w:w="2500" w:type="dxa"/>
            <w:vAlign w:val="bottom"/>
          </w:tcPr>
          <w:p>
            <w:pPr>
              <w:ind w:left="840"/>
              <w:spacing w:after="0"/>
              <w:rPr>
                <w:sz w:val="20"/>
                <w:szCs w:val="20"/>
                <w:color w:val="auto"/>
              </w:rPr>
            </w:pPr>
            <w:r>
              <w:rPr>
                <w:rFonts w:ascii="Arial" w:cs="Arial" w:eastAsia="Arial" w:hAnsi="Arial"/>
                <w:sz w:val="16"/>
                <w:szCs w:val="16"/>
                <w:b w:val="1"/>
                <w:bCs w:val="1"/>
                <w:color w:val="auto"/>
              </w:rPr>
              <w:t>Dimitar Todorchev</w:t>
            </w:r>
          </w:p>
        </w:tc>
      </w:tr>
      <w:tr>
        <w:trPr>
          <w:trHeight w:val="215"/>
        </w:trPr>
        <w:tc>
          <w:tcPr>
            <w:tcW w:w="2460" w:type="dxa"/>
            <w:vAlign w:val="bottom"/>
            <w:gridSpan w:val="3"/>
          </w:tcPr>
          <w:p>
            <w:pPr>
              <w:spacing w:after="0"/>
              <w:rPr>
                <w:sz w:val="20"/>
                <w:szCs w:val="20"/>
                <w:color w:val="auto"/>
              </w:rPr>
            </w:pPr>
            <w:r>
              <w:rPr>
                <w:rFonts w:ascii="Arial" w:cs="Arial" w:eastAsia="Arial" w:hAnsi="Arial"/>
                <w:sz w:val="16"/>
                <w:szCs w:val="16"/>
                <w:color w:val="auto"/>
              </w:rPr>
              <w:t>sarah.willett@ccep.com</w:t>
            </w:r>
          </w:p>
        </w:tc>
        <w:tc>
          <w:tcPr>
            <w:tcW w:w="2680" w:type="dxa"/>
            <w:vAlign w:val="bottom"/>
          </w:tcPr>
          <w:p>
            <w:pPr>
              <w:ind w:left="500"/>
              <w:spacing w:after="0"/>
              <w:rPr>
                <w:sz w:val="20"/>
                <w:szCs w:val="20"/>
                <w:color w:val="auto"/>
              </w:rPr>
            </w:pPr>
            <w:r>
              <w:rPr>
                <w:rFonts w:ascii="Arial" w:cs="Arial" w:eastAsia="Arial" w:hAnsi="Arial"/>
                <w:sz w:val="16"/>
                <w:szCs w:val="16"/>
                <w:color w:val="auto"/>
              </w:rPr>
              <w:t>msharff@ccep.com</w:t>
            </w:r>
          </w:p>
        </w:tc>
        <w:tc>
          <w:tcPr>
            <w:tcW w:w="2900" w:type="dxa"/>
            <w:vAlign w:val="bottom"/>
          </w:tcPr>
          <w:p>
            <w:pPr>
              <w:ind w:left="780"/>
              <w:spacing w:after="0"/>
              <w:rPr>
                <w:sz w:val="20"/>
                <w:szCs w:val="20"/>
                <w:color w:val="auto"/>
              </w:rPr>
            </w:pPr>
            <w:r>
              <w:rPr>
                <w:rFonts w:ascii="Arial" w:cs="Arial" w:eastAsia="Arial" w:hAnsi="Arial"/>
                <w:sz w:val="16"/>
                <w:szCs w:val="16"/>
                <w:color w:val="auto"/>
              </w:rPr>
              <w:t>skhan@ccep.com</w:t>
            </w:r>
          </w:p>
        </w:tc>
        <w:tc>
          <w:tcPr>
            <w:tcW w:w="2500" w:type="dxa"/>
            <w:vAlign w:val="bottom"/>
          </w:tcPr>
          <w:p>
            <w:pPr>
              <w:ind w:left="840"/>
              <w:spacing w:after="0"/>
              <w:rPr>
                <w:sz w:val="20"/>
                <w:szCs w:val="20"/>
                <w:color w:val="auto"/>
              </w:rPr>
            </w:pPr>
            <w:r>
              <w:rPr>
                <w:rFonts w:ascii="Arial" w:cs="Arial" w:eastAsia="Arial" w:hAnsi="Arial"/>
                <w:sz w:val="16"/>
                <w:szCs w:val="16"/>
                <w:color w:val="auto"/>
              </w:rPr>
              <w:t>dtodorchev@ccep.com</w:t>
            </w:r>
          </w:p>
        </w:tc>
      </w:tr>
      <w:tr>
        <w:trPr>
          <w:trHeight w:val="326"/>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Media Relations Contacts</w:t>
            </w:r>
          </w:p>
        </w:tc>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5"/>
        </w:trPr>
        <w:tc>
          <w:tcPr>
            <w:tcW w:w="2460" w:type="dxa"/>
            <w:vAlign w:val="bottom"/>
            <w:gridSpan w:val="3"/>
          </w:tcPr>
          <w:p>
            <w:pPr>
              <w:spacing w:after="0"/>
              <w:rPr>
                <w:sz w:val="20"/>
                <w:szCs w:val="20"/>
                <w:color w:val="auto"/>
              </w:rPr>
            </w:pPr>
            <w:r>
              <w:rPr>
                <w:rFonts w:ascii="Arial" w:cs="Arial" w:eastAsia="Arial" w:hAnsi="Arial"/>
                <w:sz w:val="16"/>
                <w:szCs w:val="16"/>
                <w:color w:val="auto"/>
              </w:rPr>
              <w:t>mediaenquiries@ccep.com</w:t>
            </w:r>
          </w:p>
        </w:tc>
        <w:tc>
          <w:tcPr>
            <w:tcW w:w="2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About CCEP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0" w:lineRule="exact"/>
        <w:rPr>
          <w:sz w:val="20"/>
          <w:szCs w:val="20"/>
          <w:color w:val="auto"/>
        </w:rPr>
      </w:pPr>
    </w:p>
    <w:p>
      <w:pPr>
        <w:jc w:val="both"/>
        <w:ind w:right="2620"/>
        <w:spacing w:after="0" w:line="266" w:lineRule="auto"/>
        <w:rPr>
          <w:sz w:val="20"/>
          <w:szCs w:val="20"/>
          <w:color w:val="auto"/>
        </w:rPr>
      </w:pPr>
      <w:r>
        <w:rPr>
          <w:rFonts w:ascii="Arial" w:cs="Arial" w:eastAsia="Arial" w:hAnsi="Arial"/>
          <w:sz w:val="16"/>
          <w:szCs w:val="16"/>
          <w:color w:val="auto"/>
        </w:rPr>
        <w:t>Coca-Cola Europacific Partners is one of the world’s leading consumer goods companies. We make, move &amp; sell some of the world’s most loved brands – serving nearly 600 million consumers and helping over 4 million customers across 31 countries grow.</w:t>
      </w: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We combine the strength &amp; scale of a large, multi-national business with an expert, local knowledge of the customers we serve &amp; communities we support. The Company is currently listed on Euronext Amsterdam, NASDAQ, London Stock Exchange and on the Spanish Stock</w:t>
      </w:r>
    </w:p>
    <w:p>
      <w:pPr>
        <w:spacing w:after="0"/>
        <w:rPr>
          <w:sz w:val="20"/>
          <w:szCs w:val="20"/>
          <w:color w:val="auto"/>
        </w:rPr>
      </w:pPr>
      <w:r>
        <w:rPr>
          <w:rFonts w:ascii="Arial" w:cs="Arial" w:eastAsia="Arial" w:hAnsi="Arial"/>
          <w:sz w:val="16"/>
          <w:szCs w:val="16"/>
          <w:color w:val="auto"/>
        </w:rPr>
        <w:t>Exchanges, &amp; a constituent of both the Nasdaq 100 and FTSE 100 indices, trading under the symbol CCEP (ISIN No. GB00BDCPN049).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CCEP, please visit www.cocacolaep.com &amp; follow CCEP on LinkedIn @ Coca-Cola Europacific Partners | LinkedIn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43" w:lineRule="exact"/>
        <w:rPr>
          <w:sz w:val="20"/>
          <w:szCs w:val="20"/>
          <w:color w:val="auto"/>
        </w:rPr>
      </w:pPr>
    </w:p>
    <w:p>
      <w:pPr>
        <w:ind w:left="340" w:right="440" w:hanging="332"/>
        <w:spacing w:after="0" w:line="255" w:lineRule="auto"/>
        <w:tabs>
          <w:tab w:leader="none" w:pos="329"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Refer to ‘Note regarding the Presentation of Alternative Performance Measures’ for further details &amp; to ‘Supplementary Financial Information’ for a reconciliation of reported to comparable results; Change percentages against prior year equivalent period unless stated otherwise</w:t>
      </w: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unit case equals approximately 5.678 litres or 24 8-ounce servings</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FX-neutral</w:t>
      </w:r>
    </w:p>
    <w:p>
      <w:pPr>
        <w:spacing w:after="0" w:line="3" w:lineRule="exact"/>
        <w:rPr>
          <w:rFonts w:ascii="Arial" w:cs="Arial" w:eastAsia="Arial" w:hAnsi="Arial"/>
          <w:sz w:val="12"/>
          <w:szCs w:val="12"/>
          <w:color w:val="auto"/>
        </w:rPr>
      </w:pPr>
    </w:p>
    <w:p>
      <w:pPr>
        <w:ind w:left="320" w:hanging="312"/>
        <w:spacing w:after="0" w:line="234" w:lineRule="auto"/>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Comparable volume growth rates are calculated on an Average Daily Sales (ADS) basis</w:t>
      </w: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External data sources: Nielsen &amp; IRI Period 3 YTD</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Adjusted for consumption days shift with six additional consumption days Q1’26 versus Q1’25.</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Dividends subject to Board approval</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France, Monaco, Belgium, Luxembourg, the Netherlands, Norway, Sweden &amp; Iceland</w:t>
      </w:r>
    </w:p>
    <w:p>
      <w:pPr>
        <w:spacing w:after="0" w:line="3" w:lineRule="exact"/>
        <w:rPr>
          <w:rFonts w:ascii="Arial" w:cs="Arial" w:eastAsia="Arial" w:hAnsi="Arial"/>
          <w:sz w:val="12"/>
          <w:szCs w:val="12"/>
          <w:color w:val="auto"/>
        </w:rPr>
      </w:pPr>
    </w:p>
    <w:p>
      <w:pPr>
        <w:ind w:left="320" w:hanging="312"/>
        <w:spacing w:after="0" w:line="234" w:lineRule="auto"/>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Spain, Portugal &amp; Andorra</w:t>
      </w: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Revenue per unit case</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Australia, New Zealand, the Pacific Islands &amp; Papua New Guinea</w:t>
      </w:r>
    </w:p>
    <w:p>
      <w:pPr>
        <w:spacing w:after="0" w:line="3" w:lineRule="exact"/>
        <w:rPr>
          <w:rFonts w:ascii="Arial" w:cs="Arial" w:eastAsia="Arial" w:hAnsi="Arial"/>
          <w:sz w:val="12"/>
          <w:szCs w:val="12"/>
          <w:color w:val="auto"/>
        </w:rPr>
      </w:pPr>
    </w:p>
    <w:p>
      <w:pPr>
        <w:ind w:left="320" w:hanging="312"/>
        <w:spacing w:after="0" w:line="234" w:lineRule="auto"/>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Philippines &amp; Indonesia</w:t>
      </w: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RTD refers to ready to drink</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of 24 April 2026</w:t>
      </w:r>
    </w:p>
    <w:p>
      <w:pPr>
        <w:sectPr>
          <w:pgSz w:w="11900" w:h="16838" w:orient="portrait"/>
          <w:cols w:equalWidth="0" w:num="1">
            <w:col w:w="11220"/>
          </w:cols>
          <w:pgMar w:left="320" w:top="657" w:right="359" w:bottom="1440" w:gutter="0" w:footer="0" w:header="0"/>
        </w:sectPr>
      </w:pPr>
    </w:p>
    <w:bookmarkStart w:id="7" w:name="page8"/>
    <w:bookmarkEnd w:id="7"/>
    <w:p>
      <w:pPr>
        <w:ind w:left="1056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Forward-Looking Statements</w:t>
      </w:r>
    </w:p>
    <w:p>
      <w:pPr>
        <w:spacing w:after="0" w:line="223"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i w:val="1"/>
          <w:iCs w:val="1"/>
          <w:color w:val="auto"/>
        </w:rPr>
        <w:t>This document contains statements, estimates or projections that constitute “forward-looking statements” concerning the financial condition, performance, results, guidance and outlook, dividends, consequences of mergers, acquisitions, joint ventures, divestitures, strategy and objectives of Coca-Cola Europacific Partners plc and its subsidiaries (together CCEP or the Group). Generally, the words “ambition”, “target”, “aim”, “believe”, “expect”, “intend”, “estimate”, “anticipate”, “project”, “plan”, “seek”, “may”, “could”, “would”, “should”, “might”, “will”, “forecast”, “outlook”, “guidance”, “possible”, “potential”, “predict”, “objective” and similar expressions identify forward-looking statements, which generally are not historical in nature.</w:t>
      </w:r>
    </w:p>
    <w:p>
      <w:pPr>
        <w:spacing w:after="0" w:line="214" w:lineRule="exact"/>
        <w:rPr>
          <w:sz w:val="20"/>
          <w:szCs w:val="20"/>
          <w:color w:val="auto"/>
        </w:rPr>
      </w:pPr>
    </w:p>
    <w:p>
      <w:pPr>
        <w:jc w:val="both"/>
        <w:spacing w:after="0" w:line="229" w:lineRule="auto"/>
        <w:rPr>
          <w:sz w:val="20"/>
          <w:szCs w:val="20"/>
          <w:color w:val="auto"/>
        </w:rPr>
      </w:pPr>
      <w:r>
        <w:rPr>
          <w:rFonts w:ascii="Arial" w:cs="Arial" w:eastAsia="Arial" w:hAnsi="Arial"/>
          <w:sz w:val="16"/>
          <w:szCs w:val="16"/>
          <w:i w:val="1"/>
          <w:iCs w:val="1"/>
          <w:color w:val="auto"/>
        </w:rPr>
        <w:t>Forward-looking statements are subject to certain risks that could cause actual results to differ materially. Forward-looking statements are based upon various assumptions as well as CCEP’s historical experience and present expectations or projections. As a result, undue reliance should not be placed on</w:t>
      </w:r>
    </w:p>
    <w:p>
      <w:pPr>
        <w:jc w:val="both"/>
        <w:spacing w:after="0" w:line="228" w:lineRule="auto"/>
        <w:rPr>
          <w:sz w:val="20"/>
          <w:szCs w:val="20"/>
          <w:color w:val="auto"/>
        </w:rPr>
      </w:pPr>
      <w:r>
        <w:rPr>
          <w:rFonts w:ascii="Arial" w:cs="Arial" w:eastAsia="Arial" w:hAnsi="Arial"/>
          <w:sz w:val="16"/>
          <w:szCs w:val="16"/>
          <w:i w:val="1"/>
          <w:iCs w:val="1"/>
          <w:color w:val="auto"/>
        </w:rPr>
        <w:t>forward-looking statements, which speak only as of the date on which they are made. Factors that, in CCEP’s view, could cause such actual results to differ materially from forward-looking statements include, but are not limited to, those set forth in the “Risk Factors” section of CCEP’s 2025 Annual Report on Form 20-F filed with the SEC on 13 March 2026 and subsequent filings, including, but not limited to: changes in the marketplace; changes in relationships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i w:val="1"/>
          <w:iCs w:val="1"/>
          <w:color w:val="auto"/>
        </w:rPr>
        <w:t>with large customers; adverse weather conditions; importation of other bottlers’ products into our territories; deterioration of global and local economic and political conditions; increases in costs of raw materials; changes in interest rates or debt rating; deterioration in political unity within the European Union;</w:t>
      </w:r>
    </w:p>
    <w:p>
      <w:pPr>
        <w:jc w:val="both"/>
        <w:spacing w:after="0" w:line="228" w:lineRule="auto"/>
        <w:rPr>
          <w:sz w:val="20"/>
          <w:szCs w:val="20"/>
          <w:color w:val="auto"/>
        </w:rPr>
      </w:pPr>
      <w:r>
        <w:rPr>
          <w:rFonts w:ascii="Arial" w:cs="Arial" w:eastAsia="Arial" w:hAnsi="Arial"/>
          <w:sz w:val="16"/>
          <w:szCs w:val="16"/>
          <w:i w:val="1"/>
          <w:iCs w:val="1"/>
          <w:color w:val="auto"/>
        </w:rPr>
        <w:t>defaults of or failures by counterparty financial institutions; changes in tax law in countries in which we operate; additional levies of taxes; waste and pollution, health concerns perceptions, and recycling matters related to packaging; global or regional catastrophic events; cyberattacks against us or our customers or suppliers; technology failures; initiatives to realise cost savings; calculating infrastructure investment; executing on our acquisition strategy; costs, limitations of supplies, and quality of raw materials; maintenance of brand image and product quality; managing workplace health, safety and security;</w:t>
      </w:r>
    </w:p>
    <w:p>
      <w:pPr>
        <w:spacing w:after="0" w:line="3" w:lineRule="exact"/>
        <w:rPr>
          <w:sz w:val="20"/>
          <w:szCs w:val="20"/>
          <w:color w:val="auto"/>
        </w:rPr>
      </w:pPr>
    </w:p>
    <w:p>
      <w:pPr>
        <w:jc w:val="both"/>
        <w:spacing w:after="0" w:line="220" w:lineRule="auto"/>
        <w:rPr>
          <w:sz w:val="20"/>
          <w:szCs w:val="20"/>
          <w:color w:val="auto"/>
        </w:rPr>
      </w:pPr>
      <w:r>
        <w:rPr>
          <w:rFonts w:ascii="Arial" w:cs="Arial" w:eastAsia="Arial" w:hAnsi="Arial"/>
          <w:sz w:val="16"/>
          <w:szCs w:val="16"/>
          <w:i w:val="1"/>
          <w:iCs w:val="1"/>
          <w:color w:val="auto"/>
        </w:rPr>
        <w:t>water scarcity and regulations; climate change and legal and regulatory responses thereto; other legal, regulatory and compliance considerations; anti-corruption laws, regulations, and sanction programmes; legal claims against suppliers; litigation and legal proceedings against us; legal changes in our</w:t>
      </w:r>
    </w:p>
    <w:p>
      <w:pPr>
        <w:spacing w:after="0"/>
        <w:rPr>
          <w:sz w:val="20"/>
          <w:szCs w:val="20"/>
          <w:color w:val="auto"/>
        </w:rPr>
      </w:pPr>
      <w:r>
        <w:rPr>
          <w:rFonts w:ascii="Arial" w:cs="Arial" w:eastAsia="Arial" w:hAnsi="Arial"/>
          <w:sz w:val="16"/>
          <w:szCs w:val="16"/>
          <w:i w:val="1"/>
          <w:iCs w:val="1"/>
          <w:color w:val="auto"/>
        </w:rPr>
        <w:t>status; attracting, retaining and motivating employees; our relationship with TCCC and other franchisors; and differing views among our shareholders.</w:t>
      </w:r>
    </w:p>
    <w:p>
      <w:pPr>
        <w:spacing w:after="0" w:line="221"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i w:val="1"/>
          <w:iCs w:val="1"/>
          <w:color w:val="auto"/>
        </w:rPr>
        <w:t>Due to these risks, CCEP’s actual future financial condition, results of operations, and business activities, including its results, dividend payments, capital and leverage ratios, growth, including growth in revenue, cost of sales per unit case and operating profit, free cash flow, market share, tax rate, efficiency savings, achievement of sustainability goals, including net zero emissions and recycling initiatives and capital expenditures, may differ materially from the plans, goals, expectations and guidance set out in forward-looking statements. These risks may also adversely affect CCEP’s share price. CCEP does not undertake any obligation to publicly update or revise any forward-looking statements, whether as a result of new information, future events, or otherwise, except as required under applicable rules, laws and regulations.</w:t>
      </w:r>
    </w:p>
    <w:p>
      <w:pPr>
        <w:sectPr>
          <w:pgSz w:w="11900" w:h="16838" w:orient="portrait"/>
          <w:cols w:equalWidth="0" w:num="1">
            <w:col w:w="11240"/>
          </w:cols>
          <w:pgMar w:left="320" w:top="657" w:right="339" w:bottom="1440" w:gutter="0" w:footer="0" w:header="0"/>
        </w:sectPr>
      </w:pPr>
    </w:p>
    <w:bookmarkStart w:id="8" w:name="page9"/>
    <w:bookmarkEnd w:id="8"/>
    <w:p>
      <w:pPr>
        <w:ind w:left="1056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Note Regarding the Presentation of Alternative Performance Measures</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use certain alternative performance measures (non-IFRS performance measures) to make financial, operating and planning decisions and to evaluate and report performance. We believe these measures provide useful information to investors and as such, where clearly identified, we have included certain alternative performance measures in this document to allow investors to better analyse our business performance and allow for greater comparability. To do so, we have excluded items affecting the comparability of period-over-period financial performance as described below. The alternative performance measures included herein should be read in conjunction with and do not replace the directly reconcilable IFRS measures.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document, the following terms are defined</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‘‘As reported’’ </w:t>
      </w:r>
      <w:r>
        <w:rPr>
          <w:rFonts w:ascii="Arial" w:cs="Arial" w:eastAsia="Arial" w:hAnsi="Arial"/>
          <w:sz w:val="16"/>
          <w:szCs w:val="16"/>
          <w:color w:val="auto"/>
        </w:rPr>
        <w:t>are results extracted from our unaudited consolidated financial statements.</w:t>
      </w:r>
    </w:p>
    <w:p>
      <w:pPr>
        <w:spacing w:after="0" w:line="3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“Comparable’’ </w:t>
      </w:r>
      <w:r>
        <w:rPr>
          <w:rFonts w:ascii="Arial" w:cs="Arial" w:eastAsia="Arial" w:hAnsi="Arial"/>
          <w:sz w:val="16"/>
          <w:szCs w:val="16"/>
          <w:color w:val="auto"/>
        </w:rPr>
        <w:t>is defined as results excluding items impacting comparability, such as restructuring charges. Comparable volume is also adjusted for</w:t>
      </w:r>
      <w:r>
        <w:rPr>
          <w:rFonts w:ascii="Arial" w:cs="Arial" w:eastAsia="Arial" w:hAnsi="Arial"/>
          <w:sz w:val="16"/>
          <w:szCs w:val="16"/>
          <w:b w:val="1"/>
          <w:bCs w:val="1"/>
          <w:color w:val="auto"/>
        </w:rPr>
        <w:t xml:space="preserve"> </w:t>
      </w:r>
      <w:r>
        <w:rPr>
          <w:rFonts w:ascii="Arial" w:cs="Arial" w:eastAsia="Arial" w:hAnsi="Arial"/>
          <w:sz w:val="16"/>
          <w:szCs w:val="16"/>
          <w:color w:val="auto"/>
        </w:rPr>
        <w:t>consumption days.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‘‘Fx-neutral’’ or "FXN" </w:t>
      </w:r>
      <w:r>
        <w:rPr>
          <w:rFonts w:ascii="Arial" w:cs="Arial" w:eastAsia="Arial" w:hAnsi="Arial"/>
          <w:sz w:val="16"/>
          <w:szCs w:val="16"/>
          <w:color w:val="auto"/>
        </w:rPr>
        <w:t>is defined as period results excluding the impact of foreign exchange rate changes. Foreign exchange impact is calculated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recasting current year results at prior year exchange rates.</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‘‘Capex’’ </w:t>
      </w:r>
      <w:r>
        <w:rPr>
          <w:rFonts w:ascii="Arial" w:cs="Arial" w:eastAsia="Arial" w:hAnsi="Arial"/>
          <w:sz w:val="16"/>
          <w:szCs w:val="16"/>
          <w:color w:val="auto"/>
        </w:rPr>
        <w:t>or</w:t>
      </w:r>
      <w:r>
        <w:rPr>
          <w:rFonts w:ascii="Arial" w:cs="Arial" w:eastAsia="Arial" w:hAnsi="Arial"/>
          <w:sz w:val="16"/>
          <w:szCs w:val="16"/>
          <w:b w:val="1"/>
          <w:bCs w:val="1"/>
          <w:color w:val="auto"/>
        </w:rPr>
        <w:t xml:space="preserve"> “Capital expenditures’’ </w:t>
      </w:r>
      <w:r>
        <w:rPr>
          <w:rFonts w:ascii="Arial" w:cs="Arial" w:eastAsia="Arial" w:hAnsi="Arial"/>
          <w:sz w:val="16"/>
          <w:szCs w:val="16"/>
          <w:color w:val="auto"/>
        </w:rPr>
        <w:t>is defined as purchases of property, plant and equipment and capitalised software, plus payments of principal on lease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less proceeds from disposals of property, plant and equipment. Capex is used as a measure to ensure that cash spending on capital investment is in line with the Group’s overall strategy for the use of cash.</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color w:val="auto"/>
        </w:rPr>
        <w:t xml:space="preserve">‘‘Comparable free cash flow’’ </w:t>
      </w:r>
      <w:r>
        <w:rPr>
          <w:rFonts w:ascii="Arial" w:cs="Arial" w:eastAsia="Arial" w:hAnsi="Arial"/>
          <w:sz w:val="16"/>
          <w:szCs w:val="16"/>
          <w:color w:val="auto"/>
        </w:rPr>
        <w:t>is defined as net cash flows from operating activities less capital expenditures (as defined above) and net interest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for items that are not reasonably likely to recur within two years, nor have occurred within the prior two years. Comparable free cash flow is used as a measure of the Group’s cash generation from operating activities, taking into account investments in property, plant and equipment, non-discretionary lease and net interest payments while excluding the effects of items that are unusual in nature to allow for better period over period comparability. Comparable free cash flow reflects an additional way of viewing our liquidity, which we believe is useful to our investors, and is not intended to represent residual cash flow available for discretionary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‘‘Dividend payout ratio’’ </w:t>
      </w:r>
      <w:r>
        <w:rPr>
          <w:rFonts w:ascii="Arial" w:cs="Arial" w:eastAsia="Arial" w:hAnsi="Arial"/>
          <w:sz w:val="16"/>
          <w:szCs w:val="16"/>
          <w:color w:val="auto"/>
        </w:rPr>
        <w:t>is defined as dividends as a proportion of comparable profit after tax.</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within this document, we provide certain forward-looking non-IFRS financial information, which management uses for planning and measuring performance. We are not able to reconcile forward-looking non-IFRS measures to reported measures without unreasonable efforts because it is not possible to predict with a reasonable degree of certainty the actual impact or exact timing of items that may impact comparability throughout year.</w:t>
      </w:r>
    </w:p>
    <w:p>
      <w:pPr>
        <w:sectPr>
          <w:pgSz w:w="11900" w:h="16838" w:orient="portrait"/>
          <w:cols w:equalWidth="0" w:num="1">
            <w:col w:w="11240"/>
          </w:cols>
          <w:pgMar w:left="320" w:top="657" w:right="339" w:bottom="1440" w:gutter="0" w:footer="0" w:header="0"/>
        </w:sectPr>
      </w:pPr>
    </w:p>
    <w:bookmarkStart w:id="9" w:name="page10"/>
    <w:bookmarkEnd w:id="9"/>
    <w:p>
      <w:pPr>
        <w:ind w:left="1056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Financial Information - Revenue - Reported to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CCEP</w:t>
            </w:r>
          </w:p>
        </w:tc>
        <w:tc>
          <w:tcPr>
            <w:tcW w:w="1440" w:type="dxa"/>
            <w:vAlign w:val="bottom"/>
            <w:tcBorders>
              <w:bottom w:val="single" w:sz="8" w:color="CECECE"/>
            </w:tcBorders>
          </w:tcPr>
          <w:p>
            <w:pPr>
              <w:spacing w:after="0"/>
              <w:rPr>
                <w:sz w:val="17"/>
                <w:szCs w:val="17"/>
                <w:color w:val="auto"/>
              </w:rPr>
            </w:pPr>
          </w:p>
        </w:tc>
        <w:tc>
          <w:tcPr>
            <w:tcW w:w="1620" w:type="dxa"/>
            <w:vAlign w:val="bottom"/>
            <w:tcBorders>
              <w:bottom w:val="single" w:sz="8" w:color="CECECE"/>
            </w:tcBorders>
          </w:tcPr>
          <w:p>
            <w:pPr>
              <w:jc w:val="right"/>
              <w:ind w:right="108"/>
              <w:spacing w:after="0"/>
              <w:rPr>
                <w:sz w:val="20"/>
                <w:szCs w:val="20"/>
                <w:color w:val="auto"/>
              </w:rPr>
            </w:pPr>
            <w:r>
              <w:rPr>
                <w:rFonts w:ascii="Arial" w:cs="Arial" w:eastAsia="Arial" w:hAnsi="Arial"/>
                <w:sz w:val="14"/>
                <w:szCs w:val="14"/>
                <w:b w:val="1"/>
                <w:bCs w:val="1"/>
                <w:color w:val="auto"/>
              </w:rPr>
              <w:t>First-Quarter Ended</w:t>
            </w:r>
          </w:p>
        </w:tc>
        <w:tc>
          <w:tcPr>
            <w:tcW w:w="1320" w:type="dxa"/>
            <w:vAlign w:val="bottom"/>
            <w:tcBorders>
              <w:bottom w:val="single" w:sz="8" w:color="CECECE"/>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860" w:type="dxa"/>
            <w:vAlign w:val="bottom"/>
            <w:vMerge w:val="continue"/>
          </w:tcPr>
          <w:p>
            <w:pPr>
              <w:spacing w:after="0"/>
              <w:rPr>
                <w:sz w:val="5"/>
                <w:szCs w:val="5"/>
                <w:color w:val="auto"/>
              </w:rPr>
            </w:pPr>
          </w:p>
        </w:tc>
        <w:tc>
          <w:tcPr>
            <w:tcW w:w="14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03 April 2026</w:t>
            </w:r>
          </w:p>
        </w:tc>
        <w:tc>
          <w:tcPr>
            <w:tcW w:w="16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28 March 2025</w:t>
            </w:r>
          </w:p>
        </w:tc>
        <w:tc>
          <w:tcPr>
            <w:tcW w:w="13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6860" w:type="dxa"/>
            <w:vAlign w:val="bottom"/>
          </w:tcPr>
          <w:p>
            <w:pPr>
              <w:ind w:left="20"/>
              <w:spacing w:after="0"/>
              <w:rPr>
                <w:sz w:val="20"/>
                <w:szCs w:val="20"/>
                <w:color w:val="auto"/>
              </w:rPr>
            </w:pPr>
            <w:r>
              <w:rPr>
                <w:rFonts w:ascii="Arial" w:cs="Arial" w:eastAsia="Arial" w:hAnsi="Arial"/>
                <w:sz w:val="13"/>
                <w:szCs w:val="13"/>
                <w:i w:val="1"/>
                <w:iCs w:val="1"/>
                <w:color w:val="auto"/>
                <w:w w:val="97"/>
              </w:rPr>
              <w:t>In millions of € , except per case data which is calculated prior to rounding. FX impact calculated by recasting current year</w:t>
            </w:r>
          </w:p>
        </w:tc>
        <w:tc>
          <w:tcPr>
            <w:tcW w:w="14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860" w:type="dxa"/>
            <w:vAlign w:val="bottom"/>
            <w:tcBorders>
              <w:bottom w:val="single" w:sz="8" w:color="F40009"/>
            </w:tcBorders>
          </w:tcPr>
          <w:p>
            <w:pPr>
              <w:ind w:left="20"/>
              <w:spacing w:after="0"/>
              <w:rPr>
                <w:sz w:val="20"/>
                <w:szCs w:val="20"/>
                <w:color w:val="auto"/>
              </w:rPr>
            </w:pPr>
            <w:r>
              <w:rPr>
                <w:rFonts w:ascii="Arial" w:cs="Arial" w:eastAsia="Arial" w:hAnsi="Arial"/>
                <w:sz w:val="13"/>
                <w:szCs w:val="13"/>
                <w:i w:val="1"/>
                <w:iCs w:val="1"/>
                <w:color w:val="auto"/>
              </w:rPr>
              <w:t>results at prior year rates.</w:t>
            </w:r>
          </w:p>
        </w:tc>
        <w:tc>
          <w:tcPr>
            <w:tcW w:w="1440" w:type="dxa"/>
            <w:vAlign w:val="bottom"/>
            <w:tcBorders>
              <w:bottom w:val="single" w:sz="8" w:color="F40009"/>
            </w:tcBorders>
          </w:tcPr>
          <w:p>
            <w:pPr>
              <w:spacing w:after="0"/>
              <w:rPr>
                <w:sz w:val="14"/>
                <w:szCs w:val="14"/>
                <w:color w:val="auto"/>
              </w:rPr>
            </w:pPr>
          </w:p>
        </w:tc>
        <w:tc>
          <w:tcPr>
            <w:tcW w:w="1620" w:type="dxa"/>
            <w:vAlign w:val="bottom"/>
            <w:tcBorders>
              <w:bottom w:val="single" w:sz="8" w:color="F40009"/>
            </w:tcBorders>
          </w:tcPr>
          <w:p>
            <w:pPr>
              <w:spacing w:after="0"/>
              <w:rPr>
                <w:sz w:val="14"/>
                <w:szCs w:val="14"/>
                <w:color w:val="auto"/>
              </w:rPr>
            </w:pPr>
          </w:p>
        </w:tc>
        <w:tc>
          <w:tcPr>
            <w:tcW w:w="1320" w:type="dxa"/>
            <w:vAlign w:val="bottom"/>
            <w:tcBorders>
              <w:bottom w:val="single" w:sz="8" w:color="F4000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 reported and comparable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5,001</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4,689</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6.7 %</w:t>
            </w:r>
          </w:p>
        </w:tc>
        <w:tc>
          <w:tcPr>
            <w:tcW w:w="0" w:type="dxa"/>
            <w:vAlign w:val="bottom"/>
          </w:tcPr>
          <w:p>
            <w:pPr>
              <w:spacing w:after="0"/>
              <w:rPr>
                <w:sz w:val="1"/>
                <w:szCs w:val="1"/>
                <w:color w:val="auto"/>
              </w:rPr>
            </w:pP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Adjust: Impact of fx changes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Comparable and fx-neutral</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5,132</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4,689</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9.4 %</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Revenue per unit case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5.29</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5.25</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0.8 %</w:t>
            </w:r>
          </w:p>
        </w:tc>
        <w:tc>
          <w:tcPr>
            <w:tcW w:w="0" w:type="dxa"/>
            <w:vAlign w:val="bottom"/>
          </w:tcPr>
          <w:p>
            <w:pPr>
              <w:spacing w:after="0"/>
              <w:rPr>
                <w:sz w:val="1"/>
                <w:szCs w:val="1"/>
                <w:color w:val="auto"/>
              </w:rPr>
            </w:pPr>
          </w:p>
        </w:tc>
      </w:tr>
      <w:tr>
        <w:trPr>
          <w:trHeight w:val="56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Revenue Europe</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F40009"/>
            </w:tcBorders>
          </w:tcPr>
          <w:p>
            <w:pPr>
              <w:spacing w:after="0"/>
              <w:rPr>
                <w:sz w:val="9"/>
                <w:szCs w:val="9"/>
                <w:color w:val="auto"/>
              </w:rPr>
            </w:pPr>
          </w:p>
        </w:tc>
        <w:tc>
          <w:tcPr>
            <w:tcW w:w="1440" w:type="dxa"/>
            <w:vAlign w:val="bottom"/>
            <w:tcBorders>
              <w:bottom w:val="single" w:sz="8" w:color="F40009"/>
            </w:tcBorders>
          </w:tcPr>
          <w:p>
            <w:pPr>
              <w:spacing w:after="0"/>
              <w:rPr>
                <w:sz w:val="9"/>
                <w:szCs w:val="9"/>
                <w:color w:val="auto"/>
              </w:rPr>
            </w:pPr>
          </w:p>
        </w:tc>
        <w:tc>
          <w:tcPr>
            <w:tcW w:w="1620" w:type="dxa"/>
            <w:vAlign w:val="bottom"/>
            <w:tcBorders>
              <w:bottom w:val="single" w:sz="8" w:color="F40009"/>
            </w:tcBorders>
          </w:tcPr>
          <w:p>
            <w:pPr>
              <w:spacing w:after="0"/>
              <w:rPr>
                <w:sz w:val="9"/>
                <w:szCs w:val="9"/>
                <w:color w:val="auto"/>
              </w:rPr>
            </w:pPr>
          </w:p>
        </w:tc>
        <w:tc>
          <w:tcPr>
            <w:tcW w:w="1320" w:type="dxa"/>
            <w:vAlign w:val="bottom"/>
            <w:tcBorders>
              <w:bottom w:val="single" w:sz="8" w:color="F40009"/>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 reported and comparable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3,549</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3,253</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9.1 %</w:t>
            </w:r>
          </w:p>
        </w:tc>
        <w:tc>
          <w:tcPr>
            <w:tcW w:w="0" w:type="dxa"/>
            <w:vAlign w:val="bottom"/>
          </w:tcPr>
          <w:p>
            <w:pPr>
              <w:spacing w:after="0"/>
              <w:rPr>
                <w:sz w:val="1"/>
                <w:szCs w:val="1"/>
                <w:color w:val="auto"/>
              </w:rPr>
            </w:pP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Adjust: Impact of fx changes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Comparable and fx-neutral</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3,573</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3,253</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9.8 %</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Revenue per unit case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6.00</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5.92</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r>
        <w:trPr>
          <w:trHeight w:val="56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Revenue APS</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F40009"/>
            </w:tcBorders>
          </w:tcPr>
          <w:p>
            <w:pPr>
              <w:spacing w:after="0"/>
              <w:rPr>
                <w:sz w:val="9"/>
                <w:szCs w:val="9"/>
                <w:color w:val="auto"/>
              </w:rPr>
            </w:pPr>
          </w:p>
        </w:tc>
        <w:tc>
          <w:tcPr>
            <w:tcW w:w="1440" w:type="dxa"/>
            <w:vAlign w:val="bottom"/>
            <w:tcBorders>
              <w:bottom w:val="single" w:sz="8" w:color="F40009"/>
            </w:tcBorders>
          </w:tcPr>
          <w:p>
            <w:pPr>
              <w:spacing w:after="0"/>
              <w:rPr>
                <w:sz w:val="9"/>
                <w:szCs w:val="9"/>
                <w:color w:val="auto"/>
              </w:rPr>
            </w:pPr>
          </w:p>
        </w:tc>
        <w:tc>
          <w:tcPr>
            <w:tcW w:w="1620" w:type="dxa"/>
            <w:vAlign w:val="bottom"/>
            <w:tcBorders>
              <w:bottom w:val="single" w:sz="8" w:color="F40009"/>
            </w:tcBorders>
          </w:tcPr>
          <w:p>
            <w:pPr>
              <w:spacing w:after="0"/>
              <w:rPr>
                <w:sz w:val="9"/>
                <w:szCs w:val="9"/>
                <w:color w:val="auto"/>
              </w:rPr>
            </w:pPr>
          </w:p>
        </w:tc>
        <w:tc>
          <w:tcPr>
            <w:tcW w:w="1320" w:type="dxa"/>
            <w:vAlign w:val="bottom"/>
            <w:tcBorders>
              <w:bottom w:val="single" w:sz="8" w:color="F40009"/>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 reported and comparable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1,452</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1,436</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Adjust: Impact of fx changes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Comparable and fx-neutral</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1,559</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1,436</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8.6 %</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Revenue per unit case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4.17</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4.18</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(0.3)%</w:t>
            </w:r>
          </w:p>
        </w:tc>
        <w:tc>
          <w:tcPr>
            <w:tcW w:w="0" w:type="dxa"/>
            <w:vAlign w:val="bottom"/>
          </w:tcPr>
          <w:p>
            <w:pPr>
              <w:spacing w:after="0"/>
              <w:rPr>
                <w:sz w:val="1"/>
                <w:szCs w:val="1"/>
                <w:color w:val="auto"/>
              </w:rPr>
            </w:pPr>
          </w:p>
        </w:tc>
      </w:tr>
      <w:tr>
        <w:trPr>
          <w:trHeight w:val="533"/>
        </w:trPr>
        <w:tc>
          <w:tcPr>
            <w:tcW w:w="6860" w:type="dxa"/>
            <w:vAlign w:val="bottom"/>
          </w:tcPr>
          <w:p>
            <w:pPr>
              <w:spacing w:after="0"/>
              <w:rPr>
                <w:sz w:val="20"/>
                <w:szCs w:val="20"/>
                <w:color w:val="auto"/>
              </w:rPr>
            </w:pPr>
            <w:r>
              <w:rPr>
                <w:rFonts w:ascii="Arial" w:cs="Arial" w:eastAsia="Arial" w:hAnsi="Arial"/>
                <w:sz w:val="16"/>
                <w:szCs w:val="16"/>
                <w:b w:val="1"/>
                <w:bCs w:val="1"/>
                <w:color w:val="auto"/>
              </w:rPr>
              <w:t>Volume</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Comparable Volume - Consumption Day Shift CCEP</w:t>
            </w:r>
          </w:p>
        </w:tc>
        <w:tc>
          <w:tcPr>
            <w:tcW w:w="1440" w:type="dxa"/>
            <w:vAlign w:val="bottom"/>
            <w:tcBorders>
              <w:bottom w:val="single" w:sz="8" w:color="CECECE"/>
            </w:tcBorders>
          </w:tcPr>
          <w:p>
            <w:pPr>
              <w:spacing w:after="0"/>
              <w:rPr>
                <w:sz w:val="24"/>
                <w:szCs w:val="24"/>
                <w:color w:val="auto"/>
              </w:rPr>
            </w:pPr>
          </w:p>
        </w:tc>
        <w:tc>
          <w:tcPr>
            <w:tcW w:w="1620" w:type="dxa"/>
            <w:vAlign w:val="bottom"/>
            <w:tcBorders>
              <w:bottom w:val="single" w:sz="8" w:color="CECECE"/>
            </w:tcBorders>
          </w:tcPr>
          <w:p>
            <w:pPr>
              <w:jc w:val="right"/>
              <w:ind w:right="108"/>
              <w:spacing w:after="0"/>
              <w:rPr>
                <w:sz w:val="20"/>
                <w:szCs w:val="20"/>
                <w:color w:val="auto"/>
              </w:rPr>
            </w:pPr>
            <w:r>
              <w:rPr>
                <w:rFonts w:ascii="Arial" w:cs="Arial" w:eastAsia="Arial" w:hAnsi="Arial"/>
                <w:sz w:val="14"/>
                <w:szCs w:val="14"/>
                <w:b w:val="1"/>
                <w:bCs w:val="1"/>
                <w:color w:val="auto"/>
              </w:rPr>
              <w:t>First-Quarter Ended</w:t>
            </w:r>
          </w:p>
        </w:tc>
        <w:tc>
          <w:tcPr>
            <w:tcW w:w="1320" w:type="dxa"/>
            <w:vAlign w:val="bottom"/>
            <w:tcBorders>
              <w:bottom w:val="single" w:sz="8" w:color="CECECE"/>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of unit cases. Average daily sales data calculated prior to rounding.</w:t>
            </w:r>
          </w:p>
        </w:tc>
        <w:tc>
          <w:tcPr>
            <w:tcW w:w="1440" w:type="dxa"/>
            <w:vAlign w:val="bottom"/>
          </w:tcPr>
          <w:p>
            <w:pPr>
              <w:jc w:val="right"/>
              <w:ind w:right="208"/>
              <w:spacing w:after="0"/>
              <w:rPr>
                <w:sz w:val="20"/>
                <w:szCs w:val="20"/>
                <w:color w:val="auto"/>
              </w:rPr>
            </w:pPr>
            <w:r>
              <w:rPr>
                <w:rFonts w:ascii="Arial" w:cs="Arial" w:eastAsia="Arial" w:hAnsi="Arial"/>
                <w:sz w:val="14"/>
                <w:szCs w:val="14"/>
                <w:b w:val="1"/>
                <w:bCs w:val="1"/>
                <w:color w:val="auto"/>
              </w:rPr>
              <w:t>03 April 2026</w:t>
            </w:r>
          </w:p>
        </w:tc>
        <w:tc>
          <w:tcPr>
            <w:tcW w:w="1620" w:type="dxa"/>
            <w:vAlign w:val="bottom"/>
          </w:tcPr>
          <w:p>
            <w:pPr>
              <w:jc w:val="right"/>
              <w:ind w:right="368"/>
              <w:spacing w:after="0"/>
              <w:rPr>
                <w:sz w:val="20"/>
                <w:szCs w:val="20"/>
                <w:color w:val="auto"/>
              </w:rPr>
            </w:pPr>
            <w:r>
              <w:rPr>
                <w:rFonts w:ascii="Arial" w:cs="Arial" w:eastAsia="Arial" w:hAnsi="Arial"/>
                <w:sz w:val="14"/>
                <w:szCs w:val="14"/>
                <w:b w:val="1"/>
                <w:bCs w:val="1"/>
                <w:color w:val="auto"/>
              </w:rPr>
              <w:t>28 March 2025</w:t>
            </w:r>
          </w:p>
        </w:tc>
        <w:tc>
          <w:tcPr>
            <w:tcW w:w="132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83"/>
        </w:trPr>
        <w:tc>
          <w:tcPr>
            <w:tcW w:w="68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860" w:type="dxa"/>
            <w:vAlign w:val="bottom"/>
            <w:tcBorders>
              <w:bottom w:val="single" w:sz="8" w:color="F40009"/>
            </w:tcBorders>
          </w:tcPr>
          <w:p>
            <w:pPr>
              <w:spacing w:after="0"/>
              <w:rPr>
                <w:sz w:val="2"/>
                <w:szCs w:val="2"/>
                <w:color w:val="auto"/>
              </w:rPr>
            </w:pPr>
          </w:p>
        </w:tc>
        <w:tc>
          <w:tcPr>
            <w:tcW w:w="1440" w:type="dxa"/>
            <w:vAlign w:val="bottom"/>
            <w:tcBorders>
              <w:bottom w:val="single" w:sz="8" w:color="F40009"/>
            </w:tcBorders>
          </w:tcPr>
          <w:p>
            <w:pPr>
              <w:spacing w:after="0"/>
              <w:rPr>
                <w:sz w:val="2"/>
                <w:szCs w:val="2"/>
                <w:color w:val="auto"/>
              </w:rPr>
            </w:pPr>
          </w:p>
        </w:tc>
        <w:tc>
          <w:tcPr>
            <w:tcW w:w="1620" w:type="dxa"/>
            <w:vAlign w:val="bottom"/>
            <w:tcBorders>
              <w:bottom w:val="single" w:sz="8" w:color="F40009"/>
            </w:tcBorders>
          </w:tcPr>
          <w:p>
            <w:pPr>
              <w:spacing w:after="0"/>
              <w:rPr>
                <w:sz w:val="2"/>
                <w:szCs w:val="2"/>
                <w:color w:val="auto"/>
              </w:rPr>
            </w:pPr>
          </w:p>
        </w:tc>
        <w:tc>
          <w:tcPr>
            <w:tcW w:w="1320" w:type="dxa"/>
            <w:vAlign w:val="bottom"/>
            <w:tcBorders>
              <w:bottom w:val="single" w:sz="8" w:color="F40009"/>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970</w:t>
            </w:r>
          </w:p>
        </w:tc>
        <w:tc>
          <w:tcPr>
            <w:tcW w:w="1620" w:type="dxa"/>
            <w:vAlign w:val="bottom"/>
          </w:tcPr>
          <w:p>
            <w:pPr>
              <w:jc w:val="right"/>
              <w:ind w:right="208"/>
              <w:spacing w:after="0"/>
              <w:rPr>
                <w:sz w:val="20"/>
                <w:szCs w:val="20"/>
                <w:color w:val="auto"/>
              </w:rPr>
            </w:pPr>
            <w:r>
              <w:rPr>
                <w:rFonts w:ascii="Arial" w:cs="Arial" w:eastAsia="Arial" w:hAnsi="Arial"/>
                <w:sz w:val="14"/>
                <w:szCs w:val="14"/>
                <w:b w:val="1"/>
                <w:bCs w:val="1"/>
                <w:color w:val="auto"/>
              </w:rPr>
              <w:t>894</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0" w:type="dxa"/>
            <w:vAlign w:val="bottom"/>
          </w:tcPr>
          <w:p>
            <w:pPr>
              <w:spacing w:after="0"/>
              <w:rPr>
                <w:sz w:val="1"/>
                <w:szCs w:val="1"/>
                <w:color w:val="auto"/>
              </w:rPr>
            </w:pPr>
          </w:p>
        </w:tc>
      </w:tr>
      <w:tr>
        <w:trPr>
          <w:trHeight w:val="200"/>
        </w:trPr>
        <w:tc>
          <w:tcPr>
            <w:tcW w:w="6860" w:type="dxa"/>
            <w:vAlign w:val="bottom"/>
          </w:tcPr>
          <w:p>
            <w:pPr>
              <w:ind w:left="20"/>
              <w:spacing w:after="0"/>
              <w:rPr>
                <w:sz w:val="20"/>
                <w:szCs w:val="20"/>
                <w:color w:val="auto"/>
              </w:rPr>
            </w:pPr>
            <w:r>
              <w:rPr>
                <w:rFonts w:ascii="Arial" w:cs="Arial" w:eastAsia="Arial" w:hAnsi="Arial"/>
                <w:sz w:val="14"/>
                <w:szCs w:val="14"/>
                <w:color w:val="auto"/>
              </w:rPr>
              <w:t>Consumption days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6860" w:type="dxa"/>
            <w:vAlign w:val="bottom"/>
            <w:shd w:val="clear" w:color="auto" w:fill="E0E0E0"/>
          </w:tcPr>
          <w:p>
            <w:pPr>
              <w:ind w:left="20"/>
              <w:spacing w:after="0"/>
              <w:rPr>
                <w:sz w:val="20"/>
                <w:szCs w:val="20"/>
                <w:color w:val="auto"/>
              </w:rPr>
            </w:pPr>
            <w:r>
              <w:rPr>
                <w:rFonts w:ascii="Arial" w:cs="Arial" w:eastAsia="Arial" w:hAnsi="Arial"/>
                <w:sz w:val="14"/>
                <w:szCs w:val="14"/>
                <w:b w:val="1"/>
                <w:bCs w:val="1"/>
                <w:color w:val="auto"/>
              </w:rPr>
              <w:t>Average Daily Sales</w:t>
            </w:r>
          </w:p>
        </w:tc>
        <w:tc>
          <w:tcPr>
            <w:tcW w:w="1440" w:type="dxa"/>
            <w:vAlign w:val="bottom"/>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10.43</w:t>
            </w:r>
          </w:p>
        </w:tc>
        <w:tc>
          <w:tcPr>
            <w:tcW w:w="1620" w:type="dxa"/>
            <w:vAlign w:val="bottom"/>
            <w:shd w:val="clear" w:color="auto" w:fill="E0E0E0"/>
          </w:tcPr>
          <w:p>
            <w:pPr>
              <w:jc w:val="right"/>
              <w:ind w:right="208"/>
              <w:spacing w:after="0"/>
              <w:rPr>
                <w:sz w:val="20"/>
                <w:szCs w:val="20"/>
                <w:color w:val="auto"/>
              </w:rPr>
            </w:pPr>
            <w:r>
              <w:rPr>
                <w:rFonts w:ascii="Arial" w:cs="Arial" w:eastAsia="Arial" w:hAnsi="Arial"/>
                <w:sz w:val="14"/>
                <w:szCs w:val="14"/>
                <w:b w:val="1"/>
                <w:bCs w:val="1"/>
                <w:color w:val="auto"/>
              </w:rPr>
              <w:t>10.27</w:t>
            </w:r>
          </w:p>
        </w:tc>
        <w:tc>
          <w:tcPr>
            <w:tcW w:w="1320" w:type="dxa"/>
            <w:vAlign w:val="bottom"/>
            <w:shd w:val="clear" w:color="auto" w:fill="E0E0E0"/>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553"/>
        </w:trPr>
        <w:tc>
          <w:tcPr>
            <w:tcW w:w="6860" w:type="dxa"/>
            <w:vAlign w:val="bottom"/>
            <w:tcBorders>
              <w:bottom w:val="single" w:sz="8" w:color="F40009"/>
            </w:tcBorders>
          </w:tcPr>
          <w:p>
            <w:pPr>
              <w:ind w:left="20"/>
              <w:spacing w:after="0"/>
              <w:rPr>
                <w:sz w:val="20"/>
                <w:szCs w:val="20"/>
                <w:color w:val="auto"/>
              </w:rPr>
            </w:pPr>
            <w:r>
              <w:rPr>
                <w:rFonts w:ascii="Arial" w:cs="Arial" w:eastAsia="Arial" w:hAnsi="Arial"/>
                <w:sz w:val="14"/>
                <w:szCs w:val="14"/>
                <w:b w:val="1"/>
                <w:bCs w:val="1"/>
                <w:color w:val="auto"/>
              </w:rPr>
              <w:t>Comparable Volume - Consumption Day Shift Europe</w:t>
            </w:r>
          </w:p>
        </w:tc>
        <w:tc>
          <w:tcPr>
            <w:tcW w:w="1440" w:type="dxa"/>
            <w:vAlign w:val="bottom"/>
            <w:tcBorders>
              <w:bottom w:val="single" w:sz="8" w:color="F40009"/>
            </w:tcBorders>
          </w:tcPr>
          <w:p>
            <w:pPr>
              <w:spacing w:after="0"/>
              <w:rPr>
                <w:sz w:val="24"/>
                <w:szCs w:val="24"/>
                <w:color w:val="auto"/>
              </w:rPr>
            </w:pPr>
          </w:p>
        </w:tc>
        <w:tc>
          <w:tcPr>
            <w:tcW w:w="1620" w:type="dxa"/>
            <w:vAlign w:val="bottom"/>
            <w:tcBorders>
              <w:bottom w:val="single" w:sz="8" w:color="F40009"/>
            </w:tcBorders>
          </w:tcPr>
          <w:p>
            <w:pPr>
              <w:spacing w:after="0"/>
              <w:rPr>
                <w:sz w:val="24"/>
                <w:szCs w:val="24"/>
                <w:color w:val="auto"/>
              </w:rPr>
            </w:pPr>
          </w:p>
        </w:tc>
        <w:tc>
          <w:tcPr>
            <w:tcW w:w="1320" w:type="dxa"/>
            <w:vAlign w:val="bottom"/>
            <w:tcBorders>
              <w:bottom w:val="single" w:sz="8" w:color="F40009"/>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596</w:t>
            </w:r>
          </w:p>
        </w:tc>
        <w:tc>
          <w:tcPr>
            <w:tcW w:w="1620" w:type="dxa"/>
            <w:vAlign w:val="bottom"/>
          </w:tcPr>
          <w:p>
            <w:pPr>
              <w:jc w:val="right"/>
              <w:ind w:right="208"/>
              <w:spacing w:after="0"/>
              <w:rPr>
                <w:sz w:val="20"/>
                <w:szCs w:val="20"/>
                <w:color w:val="auto"/>
              </w:rPr>
            </w:pPr>
            <w:r>
              <w:rPr>
                <w:rFonts w:ascii="Arial" w:cs="Arial" w:eastAsia="Arial" w:hAnsi="Arial"/>
                <w:sz w:val="14"/>
                <w:szCs w:val="14"/>
                <w:b w:val="1"/>
                <w:bCs w:val="1"/>
                <w:color w:val="auto"/>
              </w:rPr>
              <w:t>550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8.4 %</w:t>
            </w:r>
          </w:p>
        </w:tc>
        <w:tc>
          <w:tcPr>
            <w:tcW w:w="0" w:type="dxa"/>
            <w:vAlign w:val="bottom"/>
          </w:tcPr>
          <w:p>
            <w:pPr>
              <w:spacing w:after="0"/>
              <w:rPr>
                <w:sz w:val="1"/>
                <w:szCs w:val="1"/>
                <w:color w:val="auto"/>
              </w:rPr>
            </w:pPr>
          </w:p>
        </w:tc>
      </w:tr>
      <w:tr>
        <w:trPr>
          <w:trHeight w:val="200"/>
        </w:trPr>
        <w:tc>
          <w:tcPr>
            <w:tcW w:w="6860" w:type="dxa"/>
            <w:vAlign w:val="bottom"/>
          </w:tcPr>
          <w:p>
            <w:pPr>
              <w:ind w:left="20"/>
              <w:spacing w:after="0"/>
              <w:rPr>
                <w:sz w:val="20"/>
                <w:szCs w:val="20"/>
                <w:color w:val="auto"/>
              </w:rPr>
            </w:pPr>
            <w:r>
              <w:rPr>
                <w:rFonts w:ascii="Arial" w:cs="Arial" w:eastAsia="Arial" w:hAnsi="Arial"/>
                <w:sz w:val="14"/>
                <w:szCs w:val="14"/>
                <w:color w:val="auto"/>
              </w:rPr>
              <w:t>Consumption days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860" w:type="dxa"/>
            <w:vAlign w:val="bottom"/>
            <w:shd w:val="clear" w:color="auto" w:fill="E0E0E0"/>
          </w:tcPr>
          <w:p>
            <w:pPr>
              <w:ind w:left="20"/>
              <w:spacing w:after="0"/>
              <w:rPr>
                <w:sz w:val="20"/>
                <w:szCs w:val="20"/>
                <w:color w:val="auto"/>
              </w:rPr>
            </w:pPr>
            <w:r>
              <w:rPr>
                <w:rFonts w:ascii="Arial" w:cs="Arial" w:eastAsia="Arial" w:hAnsi="Arial"/>
                <w:sz w:val="14"/>
                <w:szCs w:val="14"/>
                <w:b w:val="1"/>
                <w:bCs w:val="1"/>
                <w:color w:val="auto"/>
              </w:rPr>
              <w:t>Average Daily Sales</w:t>
            </w:r>
          </w:p>
        </w:tc>
        <w:tc>
          <w:tcPr>
            <w:tcW w:w="1440" w:type="dxa"/>
            <w:vAlign w:val="bottom"/>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6.41</w:t>
            </w:r>
          </w:p>
        </w:tc>
        <w:tc>
          <w:tcPr>
            <w:tcW w:w="1620" w:type="dxa"/>
            <w:vAlign w:val="bottom"/>
            <w:shd w:val="clear" w:color="auto" w:fill="E0E0E0"/>
          </w:tcPr>
          <w:p>
            <w:pPr>
              <w:jc w:val="right"/>
              <w:ind w:right="208"/>
              <w:spacing w:after="0"/>
              <w:rPr>
                <w:sz w:val="20"/>
                <w:szCs w:val="20"/>
                <w:color w:val="auto"/>
              </w:rPr>
            </w:pPr>
            <w:r>
              <w:rPr>
                <w:rFonts w:ascii="Arial" w:cs="Arial" w:eastAsia="Arial" w:hAnsi="Arial"/>
                <w:sz w:val="14"/>
                <w:szCs w:val="14"/>
                <w:b w:val="1"/>
                <w:bCs w:val="1"/>
                <w:color w:val="auto"/>
              </w:rPr>
              <w:t>6.32</w:t>
            </w:r>
          </w:p>
        </w:tc>
        <w:tc>
          <w:tcPr>
            <w:tcW w:w="1320" w:type="dxa"/>
            <w:vAlign w:val="bottom"/>
            <w:shd w:val="clear" w:color="auto" w:fill="E0E0E0"/>
          </w:tcPr>
          <w:p>
            <w:pPr>
              <w:jc w:val="right"/>
              <w:spacing w:after="0"/>
              <w:rPr>
                <w:sz w:val="20"/>
                <w:szCs w:val="20"/>
                <w:color w:val="auto"/>
              </w:rPr>
            </w:pPr>
            <w:r>
              <w:rPr>
                <w:rFonts w:ascii="Arial" w:cs="Arial" w:eastAsia="Arial" w:hAnsi="Arial"/>
                <w:sz w:val="14"/>
                <w:szCs w:val="14"/>
                <w:b w:val="1"/>
                <w:bCs w:val="1"/>
                <w:color w:val="auto"/>
              </w:rPr>
              <w:t>1.4 %</w:t>
            </w:r>
          </w:p>
        </w:tc>
        <w:tc>
          <w:tcPr>
            <w:tcW w:w="0" w:type="dxa"/>
            <w:vAlign w:val="bottom"/>
          </w:tcPr>
          <w:p>
            <w:pPr>
              <w:spacing w:after="0"/>
              <w:rPr>
                <w:sz w:val="1"/>
                <w:szCs w:val="1"/>
                <w:color w:val="auto"/>
              </w:rPr>
            </w:pPr>
          </w:p>
        </w:tc>
      </w:tr>
      <w:tr>
        <w:trPr>
          <w:trHeight w:val="566"/>
        </w:trPr>
        <w:tc>
          <w:tcPr>
            <w:tcW w:w="6860" w:type="dxa"/>
            <w:vAlign w:val="bottom"/>
            <w:tcBorders>
              <w:bottom w:val="single" w:sz="8" w:color="F40009"/>
            </w:tcBorders>
          </w:tcPr>
          <w:p>
            <w:pPr>
              <w:ind w:left="20"/>
              <w:spacing w:after="0"/>
              <w:rPr>
                <w:sz w:val="20"/>
                <w:szCs w:val="20"/>
                <w:color w:val="auto"/>
              </w:rPr>
            </w:pPr>
            <w:r>
              <w:rPr>
                <w:rFonts w:ascii="Arial" w:cs="Arial" w:eastAsia="Arial" w:hAnsi="Arial"/>
                <w:sz w:val="14"/>
                <w:szCs w:val="14"/>
                <w:b w:val="1"/>
                <w:bCs w:val="1"/>
                <w:color w:val="auto"/>
              </w:rPr>
              <w:t>Comparable Volume - Consumption Day Shift APS</w:t>
            </w:r>
          </w:p>
        </w:tc>
        <w:tc>
          <w:tcPr>
            <w:tcW w:w="1440" w:type="dxa"/>
            <w:vAlign w:val="bottom"/>
            <w:tcBorders>
              <w:bottom w:val="single" w:sz="8" w:color="F40009"/>
            </w:tcBorders>
          </w:tcPr>
          <w:p>
            <w:pPr>
              <w:spacing w:after="0"/>
              <w:rPr>
                <w:sz w:val="24"/>
                <w:szCs w:val="24"/>
                <w:color w:val="auto"/>
              </w:rPr>
            </w:pPr>
          </w:p>
        </w:tc>
        <w:tc>
          <w:tcPr>
            <w:tcW w:w="1620" w:type="dxa"/>
            <w:vAlign w:val="bottom"/>
            <w:tcBorders>
              <w:bottom w:val="single" w:sz="8" w:color="F40009"/>
            </w:tcBorders>
          </w:tcPr>
          <w:p>
            <w:pPr>
              <w:spacing w:after="0"/>
              <w:rPr>
                <w:sz w:val="24"/>
                <w:szCs w:val="24"/>
                <w:color w:val="auto"/>
              </w:rPr>
            </w:pPr>
          </w:p>
        </w:tc>
        <w:tc>
          <w:tcPr>
            <w:tcW w:w="1320" w:type="dxa"/>
            <w:vAlign w:val="bottom"/>
            <w:tcBorders>
              <w:bottom w:val="single" w:sz="8" w:color="F40009"/>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374</w:t>
            </w:r>
          </w:p>
        </w:tc>
        <w:tc>
          <w:tcPr>
            <w:tcW w:w="1620" w:type="dxa"/>
            <w:vAlign w:val="bottom"/>
          </w:tcPr>
          <w:p>
            <w:pPr>
              <w:jc w:val="right"/>
              <w:ind w:right="208"/>
              <w:spacing w:after="0"/>
              <w:rPr>
                <w:sz w:val="20"/>
                <w:szCs w:val="20"/>
                <w:color w:val="auto"/>
              </w:rPr>
            </w:pPr>
            <w:r>
              <w:rPr>
                <w:rFonts w:ascii="Arial" w:cs="Arial" w:eastAsia="Arial" w:hAnsi="Arial"/>
                <w:sz w:val="14"/>
                <w:szCs w:val="14"/>
                <w:b w:val="1"/>
                <w:bCs w:val="1"/>
                <w:color w:val="auto"/>
              </w:rPr>
              <w:t>344</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8.7 %</w:t>
            </w:r>
          </w:p>
        </w:tc>
        <w:tc>
          <w:tcPr>
            <w:tcW w:w="0" w:type="dxa"/>
            <w:vAlign w:val="bottom"/>
          </w:tcPr>
          <w:p>
            <w:pPr>
              <w:spacing w:after="0"/>
              <w:rPr>
                <w:sz w:val="1"/>
                <w:szCs w:val="1"/>
                <w:color w:val="auto"/>
              </w:rPr>
            </w:pPr>
          </w:p>
        </w:tc>
      </w:tr>
      <w:tr>
        <w:trPr>
          <w:trHeight w:val="200"/>
        </w:trPr>
        <w:tc>
          <w:tcPr>
            <w:tcW w:w="6860" w:type="dxa"/>
            <w:vAlign w:val="bottom"/>
          </w:tcPr>
          <w:p>
            <w:pPr>
              <w:ind w:left="20"/>
              <w:spacing w:after="0"/>
              <w:rPr>
                <w:sz w:val="20"/>
                <w:szCs w:val="20"/>
                <w:color w:val="auto"/>
              </w:rPr>
            </w:pPr>
            <w:r>
              <w:rPr>
                <w:rFonts w:ascii="Arial" w:cs="Arial" w:eastAsia="Arial" w:hAnsi="Arial"/>
                <w:sz w:val="14"/>
                <w:szCs w:val="14"/>
                <w:color w:val="auto"/>
              </w:rPr>
              <w:t>Consumption days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860" w:type="dxa"/>
            <w:vAlign w:val="bottom"/>
            <w:shd w:val="clear" w:color="auto" w:fill="E0E0E0"/>
          </w:tcPr>
          <w:p>
            <w:pPr>
              <w:ind w:left="20"/>
              <w:spacing w:after="0"/>
              <w:rPr>
                <w:sz w:val="20"/>
                <w:szCs w:val="20"/>
                <w:color w:val="auto"/>
              </w:rPr>
            </w:pPr>
            <w:r>
              <w:rPr>
                <w:rFonts w:ascii="Arial" w:cs="Arial" w:eastAsia="Arial" w:hAnsi="Arial"/>
                <w:sz w:val="14"/>
                <w:szCs w:val="14"/>
                <w:b w:val="1"/>
                <w:bCs w:val="1"/>
                <w:color w:val="auto"/>
              </w:rPr>
              <w:t>Average Daily Sales</w:t>
            </w:r>
          </w:p>
        </w:tc>
        <w:tc>
          <w:tcPr>
            <w:tcW w:w="1440" w:type="dxa"/>
            <w:vAlign w:val="bottom"/>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4.02</w:t>
            </w:r>
          </w:p>
        </w:tc>
        <w:tc>
          <w:tcPr>
            <w:tcW w:w="1620" w:type="dxa"/>
            <w:vAlign w:val="bottom"/>
            <w:shd w:val="clear" w:color="auto" w:fill="E0E0E0"/>
          </w:tcPr>
          <w:p>
            <w:pPr>
              <w:jc w:val="right"/>
              <w:ind w:right="208"/>
              <w:spacing w:after="0"/>
              <w:rPr>
                <w:sz w:val="20"/>
                <w:szCs w:val="20"/>
                <w:color w:val="auto"/>
              </w:rPr>
            </w:pPr>
            <w:r>
              <w:rPr>
                <w:rFonts w:ascii="Arial" w:cs="Arial" w:eastAsia="Arial" w:hAnsi="Arial"/>
                <w:sz w:val="14"/>
                <w:szCs w:val="14"/>
                <w:b w:val="1"/>
                <w:bCs w:val="1"/>
                <w:color w:val="auto"/>
              </w:rPr>
              <w:t>3.95</w:t>
            </w:r>
          </w:p>
        </w:tc>
        <w:tc>
          <w:tcPr>
            <w:tcW w:w="1320" w:type="dxa"/>
            <w:vAlign w:val="bottom"/>
            <w:shd w:val="clear" w:color="auto" w:fill="E0E0E0"/>
          </w:tcPr>
          <w:p>
            <w:pPr>
              <w:jc w:val="right"/>
              <w:spacing w:after="0"/>
              <w:rPr>
                <w:sz w:val="20"/>
                <w:szCs w:val="20"/>
                <w:color w:val="auto"/>
              </w:rPr>
            </w:pPr>
            <w:r>
              <w:rPr>
                <w:rFonts w:ascii="Arial" w:cs="Arial" w:eastAsia="Arial" w:hAnsi="Arial"/>
                <w:sz w:val="14"/>
                <w:szCs w:val="14"/>
                <w:b w:val="1"/>
                <w:bCs w:val="1"/>
                <w:color w:val="auto"/>
              </w:rPr>
              <w:t>1.9 %</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The calculation of comparable volume growth has been updated and is now based on consumption days (previously selling days), consistent with how management reviews volume performance.</w:t>
      </w:r>
    </w:p>
    <w:p>
      <w:pPr>
        <w:spacing w:after="0"/>
        <w:rPr>
          <w:sz w:val="20"/>
          <w:szCs w:val="20"/>
          <w:color w:val="auto"/>
        </w:rPr>
      </w:pPr>
      <w:r>
        <w:rPr>
          <w:rFonts w:ascii="Arial" w:cs="Arial" w:eastAsia="Arial" w:hAnsi="Arial"/>
          <w:sz w:val="13"/>
          <w:szCs w:val="13"/>
          <w:color w:val="auto"/>
        </w:rPr>
        <w:t>Comparable volume growth is calculated based on Average Daily Sales (ADS), dividing reported volumes by consumption days for each respective period.</w:t>
      </w:r>
    </w:p>
    <w:p>
      <w:pPr>
        <w:sectPr>
          <w:pgSz w:w="11900" w:h="16838" w:orient="portrait"/>
          <w:cols w:equalWidth="0" w:num="1">
            <w:col w:w="11240"/>
          </w:cols>
          <w:pgMar w:left="320" w:top="657" w:right="339" w:bottom="1440" w:gutter="0" w:footer="0" w:header="0"/>
        </w:sectPr>
      </w:pPr>
    </w:p>
    <w:bookmarkStart w:id="10" w:name="page11"/>
    <w:bookmarkEnd w:id="10"/>
    <w:p>
      <w:pPr>
        <w:ind w:left="5160"/>
        <w:spacing w:after="0"/>
        <w:rPr>
          <w:sz w:val="20"/>
          <w:szCs w:val="20"/>
          <w:color w:val="auto"/>
        </w:rPr>
      </w:pPr>
      <w:r>
        <w:rPr>
          <w:rFonts w:ascii="Arial" w:cs="Arial" w:eastAsia="Arial" w:hAnsi="Arial"/>
          <w:sz w:val="16"/>
          <w:szCs w:val="16"/>
          <w:b w:val="1"/>
          <w:bCs w:val="1"/>
          <w:color w:val="auto"/>
        </w:rPr>
        <w:t>SIGNATURE</w:t>
      </w:r>
    </w:p>
    <w:p>
      <w:pPr>
        <w:spacing w:after="0" w:line="100" w:lineRule="exact"/>
        <w:rPr>
          <w:sz w:val="20"/>
          <w:szCs w:val="20"/>
          <w:color w:val="auto"/>
        </w:rPr>
      </w:pPr>
    </w:p>
    <w:p>
      <w:pPr>
        <w:ind w:right="160"/>
        <w:spacing w:after="0" w:line="40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authorised.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7660" w:type="dxa"/>
            <w:vAlign w:val="bottom"/>
            <w:gridSpan w:val="2"/>
          </w:tcPr>
          <w:p>
            <w:pPr>
              <w:ind w:left="1400"/>
              <w:spacing w:after="0"/>
              <w:rPr>
                <w:sz w:val="20"/>
                <w:szCs w:val="20"/>
                <w:color w:val="auto"/>
              </w:rPr>
            </w:pPr>
            <w:r>
              <w:rPr>
                <w:rFonts w:ascii="Arial" w:cs="Arial" w:eastAsia="Arial" w:hAnsi="Arial"/>
                <w:sz w:val="16"/>
                <w:szCs w:val="16"/>
                <w:b w:val="1"/>
                <w:bCs w:val="1"/>
                <w:color w:val="auto"/>
              </w:rPr>
              <w:t>COCA-COLA EUROPACIFIC PARTNERS PLC</w:t>
            </w:r>
          </w:p>
        </w:tc>
      </w:tr>
      <w:tr>
        <w:trPr>
          <w:trHeight w:val="216"/>
        </w:trPr>
        <w:tc>
          <w:tcPr>
            <w:tcW w:w="2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(Registrant)</w:t>
            </w:r>
          </w:p>
        </w:tc>
      </w:tr>
      <w:tr>
        <w:trPr>
          <w:trHeight w:val="215"/>
        </w:trPr>
        <w:tc>
          <w:tcPr>
            <w:tcW w:w="2820" w:type="dxa"/>
            <w:vAlign w:val="bottom"/>
          </w:tcPr>
          <w:p>
            <w:pPr>
              <w:spacing w:after="0"/>
              <w:rPr>
                <w:sz w:val="20"/>
                <w:szCs w:val="20"/>
                <w:color w:val="auto"/>
              </w:rPr>
            </w:pPr>
            <w:r>
              <w:rPr>
                <w:rFonts w:ascii="Arial" w:cs="Arial" w:eastAsia="Arial" w:hAnsi="Arial"/>
                <w:sz w:val="16"/>
                <w:szCs w:val="16"/>
                <w:color w:val="auto"/>
              </w:rPr>
              <w:t>Date: April 28, 2026</w:t>
            </w:r>
          </w:p>
        </w:tc>
        <w:tc>
          <w:tcPr>
            <w:tcW w:w="2180" w:type="dxa"/>
            <w:vAlign w:val="bottom"/>
          </w:tcPr>
          <w:p>
            <w:pPr>
              <w:ind w:left="1400"/>
              <w:spacing w:after="0"/>
              <w:rPr>
                <w:sz w:val="20"/>
                <w:szCs w:val="20"/>
                <w:color w:val="auto"/>
              </w:rPr>
            </w:pPr>
            <w:r>
              <w:rPr>
                <w:rFonts w:ascii="Arial" w:cs="Arial" w:eastAsia="Arial" w:hAnsi="Arial"/>
                <w:sz w:val="16"/>
                <w:szCs w:val="16"/>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Ed Walker</w:t>
            </w:r>
          </w:p>
        </w:tc>
      </w:tr>
      <w:tr>
        <w:trPr>
          <w:trHeight w:val="210"/>
        </w:trPr>
        <w:tc>
          <w:tcPr>
            <w:tcW w:w="2820" w:type="dxa"/>
            <w:vAlign w:val="bottom"/>
          </w:tcPr>
          <w:p>
            <w:pPr>
              <w:spacing w:after="0"/>
              <w:rPr>
                <w:sz w:val="18"/>
                <w:szCs w:val="18"/>
                <w:color w:val="auto"/>
              </w:rPr>
            </w:pPr>
          </w:p>
        </w:tc>
        <w:tc>
          <w:tcPr>
            <w:tcW w:w="2180" w:type="dxa"/>
            <w:vAlign w:val="bottom"/>
          </w:tcPr>
          <w:p>
            <w:pPr>
              <w:ind w:left="1400"/>
              <w:spacing w:after="0"/>
              <w:rPr>
                <w:sz w:val="20"/>
                <w:szCs w:val="20"/>
                <w:color w:val="auto"/>
              </w:rPr>
            </w:pPr>
            <w:r>
              <w:rPr>
                <w:rFonts w:ascii="Arial" w:cs="Arial" w:eastAsia="Arial" w:hAnsi="Arial"/>
                <w:sz w:val="16"/>
                <w:szCs w:val="16"/>
                <w:color w:val="auto"/>
              </w:rPr>
              <w:t>Name:</w:t>
            </w:r>
          </w:p>
        </w:tc>
        <w:tc>
          <w:tcPr>
            <w:tcW w:w="5480" w:type="dxa"/>
            <w:vAlign w:val="bottom"/>
          </w:tcPr>
          <w:p>
            <w:pPr>
              <w:ind w:left="20"/>
              <w:spacing w:after="0"/>
              <w:rPr>
                <w:sz w:val="20"/>
                <w:szCs w:val="20"/>
                <w:color w:val="auto"/>
              </w:rPr>
            </w:pPr>
            <w:r>
              <w:rPr>
                <w:rFonts w:ascii="Arial" w:cs="Arial" w:eastAsia="Arial" w:hAnsi="Arial"/>
                <w:sz w:val="16"/>
                <w:szCs w:val="16"/>
                <w:color w:val="auto"/>
              </w:rPr>
              <w:t>Ed Walker</w:t>
            </w:r>
          </w:p>
        </w:tc>
      </w:tr>
      <w:tr>
        <w:trPr>
          <w:trHeight w:val="215"/>
        </w:trPr>
        <w:tc>
          <w:tcPr>
            <w:tcW w:w="2820" w:type="dxa"/>
            <w:vAlign w:val="bottom"/>
          </w:tcPr>
          <w:p>
            <w:pPr>
              <w:spacing w:after="0"/>
              <w:rPr>
                <w:sz w:val="18"/>
                <w:szCs w:val="18"/>
                <w:color w:val="auto"/>
              </w:rPr>
            </w:pPr>
          </w:p>
        </w:tc>
        <w:tc>
          <w:tcPr>
            <w:tcW w:w="2180" w:type="dxa"/>
            <w:vAlign w:val="bottom"/>
          </w:tcPr>
          <w:p>
            <w:pPr>
              <w:ind w:left="1400"/>
              <w:spacing w:after="0"/>
              <w:rPr>
                <w:sz w:val="20"/>
                <w:szCs w:val="20"/>
                <w:color w:val="auto"/>
              </w:rPr>
            </w:pPr>
            <w:r>
              <w:rPr>
                <w:rFonts w:ascii="Arial" w:cs="Arial" w:eastAsia="Arial" w:hAnsi="Arial"/>
                <w:sz w:val="16"/>
                <w:szCs w:val="16"/>
                <w:color w:val="auto"/>
              </w:rPr>
              <w:t>Title:</w:t>
            </w:r>
          </w:p>
        </w:tc>
        <w:tc>
          <w:tcPr>
            <w:tcW w:w="5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0500"/>
      </w:cols>
      <w:pgMar w:left="320" w:top="935"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2026-04-28T05:21:24Z</dcterms:created>
  <dcterms:modified xsi:type="dcterms:W3CDTF">2026-04-28T05:21:24Z</dcterms:modified>
</cp:coreProperties>
</file>