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5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1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1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spacing w:after="0" w:line="1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3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period ending 03 April 2026</w:t>
      </w:r>
    </w:p>
    <w:p>
      <w:pPr>
        <w:spacing w:after="0" w:line="2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001-37791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1"/>
          <w:szCs w:val="41"/>
          <w:b w:val="1"/>
          <w:bCs w:val="1"/>
          <w:color w:val="auto"/>
        </w:rPr>
        <w:t>COCA-COLA EUROPACIFIC PARTNERS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Pemberton House, Bakers Road</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Uxbridge, UB8 1EZ, United Kingdom</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229" w:lineRule="exact"/>
        <w:rPr>
          <w:sz w:val="24"/>
          <w:szCs w:val="24"/>
          <w:color w:val="auto"/>
        </w:rPr>
      </w:pPr>
    </w:p>
    <w:p>
      <w:pPr>
        <w:jc w:val="center"/>
        <w:ind w:right="-19"/>
        <w:spacing w:after="0" w:line="219"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6"/>
          <w:szCs w:val="16"/>
          <w:color w:val="auto"/>
        </w:rPr>
        <w:t>☒</w:t>
      </w:r>
      <w:r>
        <w:rPr>
          <w:rFonts w:ascii="Times New Roman" w:cs="Times New Roman" w:eastAsia="Times New Roman" w:hAnsi="Times New Roman"/>
          <w:sz w:val="18"/>
          <w:szCs w:val="18"/>
          <w:color w:val="auto"/>
        </w:rPr>
        <w:t xml:space="preserve"> Form 40-F D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THIS REPORT ON FORM 6-K IS HEREBY INCORPORATED BY REFERENCE INTO THE REGISTRANT’S</w:t>
      </w:r>
    </w:p>
    <w:p>
      <w:pPr>
        <w:spacing w:after="0" w:line="244" w:lineRule="exact"/>
        <w:rPr>
          <w:sz w:val="24"/>
          <w:szCs w:val="24"/>
          <w:color w:val="auto"/>
        </w:rPr>
      </w:pPr>
    </w:p>
    <w:p>
      <w:pPr>
        <w:ind w:left="100" w:hanging="92"/>
        <w:spacing w:after="0"/>
        <w:tabs>
          <w:tab w:leader="none" w:pos="1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ON FORM S-8 OF COCA-COLA EUROPACIFIC PARTNERS PLC (REGISTRATION NO. 333-208556);</w:t>
      </w:r>
    </w:p>
    <w:p>
      <w:pPr>
        <w:spacing w:after="0" w:line="27" w:lineRule="exact"/>
        <w:rPr>
          <w:rFonts w:ascii="Times New Roman" w:cs="Times New Roman" w:eastAsia="Times New Roman" w:hAnsi="Times New Roman"/>
          <w:sz w:val="14"/>
          <w:szCs w:val="14"/>
          <w:color w:val="auto"/>
        </w:rPr>
      </w:pPr>
    </w:p>
    <w:p>
      <w:pPr>
        <w:ind w:left="100" w:hanging="92"/>
        <w:spacing w:after="0"/>
        <w:tabs>
          <w:tab w:leader="none" w:pos="1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ON FORM S-8 OF COCA-COLA EUROPACIFIC PARTNERS PLC (REGISTRATION NO. 333-233695);</w:t>
      </w:r>
    </w:p>
    <w:p>
      <w:pPr>
        <w:spacing w:after="0" w:line="14" w:lineRule="exact"/>
        <w:rPr>
          <w:rFonts w:ascii="Times New Roman" w:cs="Times New Roman" w:eastAsia="Times New Roman" w:hAnsi="Times New Roman"/>
          <w:sz w:val="14"/>
          <w:szCs w:val="14"/>
          <w:color w:val="auto"/>
        </w:rPr>
      </w:pPr>
    </w:p>
    <w:p>
      <w:pPr>
        <w:ind w:left="100" w:hanging="92"/>
        <w:spacing w:after="0"/>
        <w:tabs>
          <w:tab w:leader="none" w:pos="1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ON FORM S-8 OF COCA-COLA EUROPACIFIC PARTNERS PLC (REGISTRATION NO. 333-233697); AND</w:t>
      </w:r>
    </w:p>
    <w:p>
      <w:pPr>
        <w:spacing w:after="0" w:line="14" w:lineRule="exact"/>
        <w:rPr>
          <w:rFonts w:ascii="Times New Roman" w:cs="Times New Roman" w:eastAsia="Times New Roman" w:hAnsi="Times New Roman"/>
          <w:sz w:val="14"/>
          <w:szCs w:val="14"/>
          <w:color w:val="auto"/>
        </w:rPr>
      </w:pPr>
    </w:p>
    <w:p>
      <w:pPr>
        <w:ind w:left="100" w:hanging="92"/>
        <w:spacing w:after="0"/>
        <w:tabs>
          <w:tab w:leader="none" w:pos="1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ON FORM S-8 OF COCA-COLA EUROPACIFIC PARTNERS PLC (REGISTRATION NO. 333-211764)</w:t>
      </w:r>
    </w:p>
    <w:p>
      <w:pPr>
        <w:spacing w:after="0" w:line="245"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FILED WITH THE SECURITIES AND EXCHANGE COMMISSION, AND SHALL BE A PART THEREOF FROM THE DATE ON WHICH THIS REPORT IS FILED, TO THE EXTENT NOT SUPERSEDED BY DOCUMENTS OR REPORTS SUBSEQUENTLY FILED OR FURNISHED.</w:t>
      </w:r>
    </w:p>
    <w:p>
      <w:pPr>
        <w:jc w:val="both"/>
        <w:spacing w:after="0" w:line="268" w:lineRule="auto"/>
        <w:rPr>
          <w:sz w:val="20"/>
          <w:szCs w:val="20"/>
          <w:color w:val="auto"/>
        </w:rPr>
      </w:pPr>
      <w:r>
        <w:rPr>
          <w:rFonts w:ascii="Times New Roman" w:cs="Times New Roman" w:eastAsia="Times New Roman" w:hAnsi="Times New Roman"/>
          <w:sz w:val="14"/>
          <w:szCs w:val="14"/>
          <w:color w:val="auto"/>
        </w:rPr>
        <w:t>THIS REPORT ON FORM 6-K INCLUDES SUBSTANTIALLY THE SAME INFORMATION, EXCEPT FOR INCLUSION OF FULL YEAR GUIDANCE, AS THAT REPORTED IN THE REGISTRANT’S REPORT ON FORM 6-K PREVIOUSLY FURNISHED TO THE SECURITIES AND EXCHANGE COMMISSION ON APRIL 28, 2026, AND IS BEING FILED SOLELY FOR THE PURPOSE OF INCORPORATING BY REFERENCE INFORMATION INTO THE ABOVE-REFERENCED REGISTRATION STATEMENTS AND ANY FUTURE REGISTRATION STATEMENTS IN WHICH THE REGISTRANT IDENTIFIES THIS REPORT ON FORM 6-K AS BEING INCORPORATED BY REFERENCE</w:t>
      </w:r>
    </w:p>
    <w:p>
      <w:pPr>
        <w:sectPr>
          <w:pgSz w:w="11900" w:h="16838" w:orient="portrait"/>
          <w:cols w:equalWidth="0" w:num="1">
            <w:col w:w="11240"/>
          </w:cols>
          <w:pgMar w:left="320" w:top="1440" w:right="339" w:bottom="1440" w:gutter="0" w:footer="0" w:header="0"/>
        </w:sectPr>
      </w:pPr>
    </w:p>
    <w:bookmarkStart w:id="1" w:name="page2"/>
    <w:bookmarkEnd w:id="1"/>
    <w:p>
      <w:pPr>
        <w:ind w:left="10560"/>
        <w:spacing w:after="0"/>
        <w:rPr>
          <w:sz w:val="20"/>
          <w:szCs w:val="20"/>
          <w:color w:val="auto"/>
        </w:rPr>
      </w:pPr>
      <w:r>
        <w:rPr>
          <w:rFonts w:ascii="Arial" w:cs="Arial" w:eastAsia="Arial" w:hAnsi="Arial"/>
          <w:sz w:val="14"/>
          <w:szCs w:val="14"/>
          <w:color w:val="F40009"/>
        </w:rPr>
        <w:drawing>
          <wp:anchor simplePos="0" relativeHeight="251657728" behindDoc="1" locked="0" layoutInCell="0" allowOverlap="1">
            <wp:simplePos x="0" y="0"/>
            <wp:positionH relativeFrom="page">
              <wp:posOffset>216535</wp:posOffset>
            </wp:positionH>
            <wp:positionV relativeFrom="page">
              <wp:posOffset>166370</wp:posOffset>
            </wp:positionV>
            <wp:extent cx="1663065" cy="3175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663065" cy="317500"/>
                    </a:xfrm>
                    <a:prstGeom prst="rect">
                      <a:avLst/>
                    </a:prstGeom>
                    <a:noFill/>
                  </pic:spPr>
                </pic:pic>
              </a:graphicData>
            </a:graphic>
          </wp:anchor>
        </w:drawing>
        <w:t xml:space="preserve">P a g e | </w:t>
      </w:r>
      <w:r>
        <w:rPr>
          <w:rFonts w:ascii="Arial" w:cs="Arial" w:eastAsia="Arial" w:hAnsi="Arial"/>
          <w:sz w:val="14"/>
          <w:szCs w:val="14"/>
          <w:b w:val="1"/>
          <w:bCs w:val="1"/>
          <w:color w:val="000000"/>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28 April 2026</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COCA-COLA EUROPACIFIC PARTNERS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Trading Update for the First Quarter ended 03 April 2026 &amp; Interim Dividend Declaration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625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Note Regarding the Presentation of Alternative Performance Measures</w:t>
      </w:r>
    </w:p>
    <w:p>
      <w:pPr>
        <w:spacing w:after="0" w:line="235"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We use certain alternative performance measures (non-IFRS performance measures) to make financial, operating and planning decisions and to evaluate and report performance. We believe these measures provide useful information to investors and as such, where clearly identified, we have included certain alternative performance measures in this document to allow investors to better analyse our business performance and allow for greater comparability. To do so, we have excluded items affecting the comparability of period-over-period financial performance as described below. The alternative performance measures included herein should be read in conjunction with and do not replace the directly reconcilable IFRS measures.</w:t>
      </w:r>
    </w:p>
    <w:p>
      <w:pPr>
        <w:spacing w:after="0" w:line="308" w:lineRule="exact"/>
        <w:rPr>
          <w:sz w:val="20"/>
          <w:szCs w:val="20"/>
          <w:color w:val="auto"/>
        </w:rPr>
      </w:pPr>
    </w:p>
    <w:p>
      <w:pPr>
        <w:spacing w:after="0"/>
        <w:rPr>
          <w:sz w:val="20"/>
          <w:szCs w:val="20"/>
          <w:color w:val="auto"/>
        </w:rPr>
      </w:pPr>
      <w:r>
        <w:rPr>
          <w:rFonts w:ascii="Arial" w:cs="Arial" w:eastAsia="Arial" w:hAnsi="Arial"/>
          <w:sz w:val="16"/>
          <w:szCs w:val="16"/>
          <w:color w:val="auto"/>
        </w:rPr>
        <w:t>For purposes of this document, the following terms are defined</w:t>
      </w:r>
      <w:r>
        <w:rPr>
          <w:rFonts w:ascii="Times New Roman" w:cs="Times New Roman" w:eastAsia="Times New Roman" w:hAnsi="Times New Roman"/>
          <w:sz w:val="17"/>
          <w:szCs w:val="17"/>
          <w:color w:val="auto"/>
        </w:rPr>
        <w:t>:</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‘‘As reported’’ </w:t>
      </w:r>
      <w:r>
        <w:rPr>
          <w:rFonts w:ascii="Arial" w:cs="Arial" w:eastAsia="Arial" w:hAnsi="Arial"/>
          <w:sz w:val="16"/>
          <w:szCs w:val="16"/>
          <w:color w:val="auto"/>
        </w:rPr>
        <w:t>are results extracted from our unaudited consolidated financial statements.</w:t>
      </w:r>
    </w:p>
    <w:p>
      <w:pPr>
        <w:spacing w:after="0" w:line="356" w:lineRule="exact"/>
        <w:rPr>
          <w:sz w:val="20"/>
          <w:szCs w:val="20"/>
          <w:color w:val="auto"/>
        </w:rPr>
      </w:pPr>
    </w:p>
    <w:p>
      <w:pPr>
        <w:jc w:val="both"/>
        <w:spacing w:after="0" w:line="268" w:lineRule="auto"/>
        <w:rPr>
          <w:sz w:val="20"/>
          <w:szCs w:val="20"/>
          <w:color w:val="auto"/>
        </w:rPr>
      </w:pPr>
      <w:r>
        <w:rPr>
          <w:rFonts w:ascii="Arial" w:cs="Arial" w:eastAsia="Arial" w:hAnsi="Arial"/>
          <w:sz w:val="16"/>
          <w:szCs w:val="16"/>
          <w:b w:val="1"/>
          <w:bCs w:val="1"/>
          <w:color w:val="auto"/>
        </w:rPr>
        <w:t xml:space="preserve">“Comparable’’ </w:t>
      </w:r>
      <w:r>
        <w:rPr>
          <w:rFonts w:ascii="Arial" w:cs="Arial" w:eastAsia="Arial" w:hAnsi="Arial"/>
          <w:sz w:val="16"/>
          <w:szCs w:val="16"/>
          <w:color w:val="auto"/>
        </w:rPr>
        <w:t>is defined as results excluding items impacting comparability, such as restructuring charges. Comparable volume is also adjusted for</w:t>
      </w:r>
      <w:r>
        <w:rPr>
          <w:rFonts w:ascii="Arial" w:cs="Arial" w:eastAsia="Arial" w:hAnsi="Arial"/>
          <w:sz w:val="16"/>
          <w:szCs w:val="16"/>
          <w:b w:val="1"/>
          <w:bCs w:val="1"/>
          <w:color w:val="auto"/>
        </w:rPr>
        <w:t xml:space="preserve"> </w:t>
      </w:r>
      <w:r>
        <w:rPr>
          <w:rFonts w:ascii="Arial" w:cs="Arial" w:eastAsia="Arial" w:hAnsi="Arial"/>
          <w:sz w:val="16"/>
          <w:szCs w:val="16"/>
          <w:color w:val="auto"/>
        </w:rPr>
        <w:t>consumption days.</w:t>
      </w:r>
    </w:p>
    <w:p>
      <w:pPr>
        <w:spacing w:after="0" w:line="18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b w:val="1"/>
          <w:bCs w:val="1"/>
          <w:color w:val="auto"/>
        </w:rPr>
        <w:t xml:space="preserve">‘‘Fx-neutral’’ or "FXN" </w:t>
      </w:r>
      <w:r>
        <w:rPr>
          <w:rFonts w:ascii="Arial" w:cs="Arial" w:eastAsia="Arial" w:hAnsi="Arial"/>
          <w:sz w:val="16"/>
          <w:szCs w:val="16"/>
          <w:color w:val="auto"/>
        </w:rPr>
        <w:t>is defined as period results excluding the impact of foreign exchange rate changes. Foreign exchange impact is calculated by</w:t>
      </w:r>
      <w:r>
        <w:rPr>
          <w:rFonts w:ascii="Arial" w:cs="Arial" w:eastAsia="Arial" w:hAnsi="Arial"/>
          <w:sz w:val="16"/>
          <w:szCs w:val="16"/>
          <w:b w:val="1"/>
          <w:bCs w:val="1"/>
          <w:color w:val="auto"/>
        </w:rPr>
        <w:t xml:space="preserve"> </w:t>
      </w:r>
      <w:r>
        <w:rPr>
          <w:rFonts w:ascii="Arial" w:cs="Arial" w:eastAsia="Arial" w:hAnsi="Arial"/>
          <w:sz w:val="16"/>
          <w:szCs w:val="16"/>
          <w:color w:val="auto"/>
        </w:rPr>
        <w:t>recasting current year results at prior year exchange rates.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‘‘Dividend payout ratio’’ </w:t>
      </w:r>
      <w:r>
        <w:rPr>
          <w:rFonts w:ascii="Arial" w:cs="Arial" w:eastAsia="Arial" w:hAnsi="Arial"/>
          <w:sz w:val="16"/>
          <w:szCs w:val="16"/>
          <w:color w:val="auto"/>
        </w:rPr>
        <w:t>is defined as dividends as a proportion of comparable profit after tax.</w:t>
      </w:r>
    </w:p>
    <w:p>
      <w:pPr>
        <w:sectPr>
          <w:pgSz w:w="11900" w:h="16838" w:orient="portrait"/>
          <w:cols w:equalWidth="0" w:num="1">
            <w:col w:w="11240"/>
          </w:cols>
          <w:pgMar w:left="320" w:top="65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Q1 2026</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80" w:type="dxa"/>
            <w:vAlign w:val="bottom"/>
            <w:tcBorders>
              <w:top w:val="single" w:sz="8" w:color="EE2724"/>
            </w:tcBorders>
          </w:tcPr>
          <w:p>
            <w:pPr>
              <w:spacing w:after="0"/>
              <w:rPr>
                <w:sz w:val="14"/>
                <w:szCs w:val="14"/>
                <w:color w:val="auto"/>
              </w:rPr>
            </w:pPr>
          </w:p>
        </w:tc>
        <w:tc>
          <w:tcPr>
            <w:tcW w:w="1360" w:type="dxa"/>
            <w:vAlign w:val="bottom"/>
            <w:tcBorders>
              <w:top w:val="single" w:sz="8" w:color="EE2724"/>
            </w:tcBorders>
            <w:vMerge w:val="restart"/>
          </w:tcPr>
          <w:p>
            <w:pPr>
              <w:ind w:left="380"/>
              <w:spacing w:after="0"/>
              <w:rPr>
                <w:sz w:val="20"/>
                <w:szCs w:val="20"/>
                <w:color w:val="auto"/>
              </w:rPr>
            </w:pPr>
            <w:r>
              <w:rPr>
                <w:rFonts w:ascii="Arial" w:cs="Arial" w:eastAsia="Arial" w:hAnsi="Arial"/>
                <w:sz w:val="14"/>
                <w:szCs w:val="14"/>
                <w:b w:val="1"/>
                <w:bCs w:val="1"/>
                <w:color w:val="auto"/>
              </w:rPr>
              <w:t>Revenue</w:t>
            </w:r>
          </w:p>
        </w:tc>
        <w:tc>
          <w:tcPr>
            <w:tcW w:w="1140" w:type="dxa"/>
            <w:vAlign w:val="bottom"/>
            <w:tcBorders>
              <w:top w:val="single" w:sz="8" w:color="EE2724"/>
            </w:tcBorders>
          </w:tcPr>
          <w:p>
            <w:pPr>
              <w:jc w:val="center"/>
              <w:ind w:left="88"/>
              <w:spacing w:after="0"/>
              <w:rPr>
                <w:sz w:val="20"/>
                <w:szCs w:val="20"/>
                <w:color w:val="auto"/>
              </w:rPr>
            </w:pPr>
            <w:r>
              <w:rPr>
                <w:rFonts w:ascii="Arial" w:cs="Arial" w:eastAsia="Arial" w:hAnsi="Arial"/>
                <w:sz w:val="14"/>
                <w:szCs w:val="14"/>
                <w:b w:val="1"/>
                <w:bCs w:val="1"/>
                <w:color w:val="auto"/>
                <w:w w:val="98"/>
              </w:rPr>
              <w:t>Volume</w:t>
            </w:r>
          </w:p>
        </w:tc>
        <w:tc>
          <w:tcPr>
            <w:tcW w:w="1520" w:type="dxa"/>
            <w:vAlign w:val="bottom"/>
            <w:tcBorders>
              <w:top w:val="single" w:sz="8" w:color="EE2724"/>
            </w:tcBorders>
          </w:tcPr>
          <w:p>
            <w:pPr>
              <w:ind w:left="220"/>
              <w:spacing w:after="0" w:line="171" w:lineRule="exact"/>
              <w:rPr>
                <w:sz w:val="20"/>
                <w:szCs w:val="20"/>
                <w:color w:val="auto"/>
              </w:rPr>
            </w:pPr>
            <w:r>
              <w:rPr>
                <w:rFonts w:ascii="Arial" w:cs="Arial" w:eastAsia="Arial" w:hAnsi="Arial"/>
                <w:sz w:val="14"/>
                <w:szCs w:val="14"/>
                <w:b w:val="1"/>
                <w:bCs w:val="1"/>
                <w:color w:val="auto"/>
              </w:rPr>
              <w:t>Revenue per UC</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175"/>
        </w:trPr>
        <w:tc>
          <w:tcPr>
            <w:tcW w:w="1780" w:type="dxa"/>
            <w:vAlign w:val="bottom"/>
            <w:tcBorders>
              <w:bottom w:val="single" w:sz="8" w:color="EE2724"/>
            </w:tcBorders>
          </w:tcPr>
          <w:p>
            <w:pPr>
              <w:spacing w:after="0"/>
              <w:rPr>
                <w:sz w:val="15"/>
                <w:szCs w:val="15"/>
                <w:color w:val="auto"/>
              </w:rPr>
            </w:pPr>
          </w:p>
        </w:tc>
        <w:tc>
          <w:tcPr>
            <w:tcW w:w="1360" w:type="dxa"/>
            <w:vAlign w:val="bottom"/>
            <w:tcBorders>
              <w:bottom w:val="single" w:sz="8" w:color="EE2724"/>
            </w:tcBorders>
            <w:vMerge w:val="continue"/>
          </w:tcPr>
          <w:p>
            <w:pPr>
              <w:spacing w:after="0"/>
              <w:rPr>
                <w:sz w:val="15"/>
                <w:szCs w:val="15"/>
                <w:color w:val="auto"/>
              </w:rPr>
            </w:pPr>
          </w:p>
        </w:tc>
        <w:tc>
          <w:tcPr>
            <w:tcW w:w="1140" w:type="dxa"/>
            <w:vAlign w:val="bottom"/>
            <w:tcBorders>
              <w:bottom w:val="single" w:sz="8" w:color="EE2724"/>
            </w:tcBorders>
          </w:tcPr>
          <w:p>
            <w:pPr>
              <w:jc w:val="center"/>
              <w:ind w:left="88"/>
              <w:spacing w:after="0" w:line="176" w:lineRule="exact"/>
              <w:rPr>
                <w:sz w:val="20"/>
                <w:szCs w:val="20"/>
                <w:color w:val="auto"/>
              </w:rPr>
            </w:pPr>
            <w:r>
              <w:rPr>
                <w:rFonts w:ascii="Arial" w:cs="Arial" w:eastAsia="Arial" w:hAnsi="Arial"/>
                <w:sz w:val="14"/>
                <w:szCs w:val="14"/>
                <w:b w:val="1"/>
                <w:bCs w:val="1"/>
                <w:color w:val="auto"/>
                <w:w w:val="94"/>
              </w:rPr>
              <w:t>(UC)</w:t>
            </w:r>
            <w:r>
              <w:rPr>
                <w:rFonts w:ascii="Arial" w:cs="Arial" w:eastAsia="Arial" w:hAnsi="Arial"/>
                <w:sz w:val="18"/>
                <w:szCs w:val="18"/>
                <w:b w:val="1"/>
                <w:bCs w:val="1"/>
                <w:color w:val="auto"/>
                <w:w w:val="94"/>
                <w:vertAlign w:val="superscript"/>
              </w:rPr>
              <w:t>[2]</w:t>
            </w:r>
          </w:p>
        </w:tc>
        <w:tc>
          <w:tcPr>
            <w:tcW w:w="1520" w:type="dxa"/>
            <w:vAlign w:val="bottom"/>
            <w:tcBorders>
              <w:bottom w:val="single" w:sz="8" w:color="EE2724"/>
            </w:tcBorders>
          </w:tcPr>
          <w:p>
            <w:pPr>
              <w:jc w:val="center"/>
              <w:ind w:left="113"/>
              <w:spacing w:after="0"/>
              <w:rPr>
                <w:sz w:val="20"/>
                <w:szCs w:val="20"/>
                <w:color w:val="auto"/>
              </w:rPr>
            </w:pPr>
            <w:r>
              <w:rPr>
                <w:rFonts w:ascii="Arial" w:cs="Arial" w:eastAsia="Arial" w:hAnsi="Arial"/>
                <w:sz w:val="9"/>
                <w:szCs w:val="9"/>
                <w:b w:val="1"/>
                <w:bCs w:val="1"/>
                <w:color w:val="auto"/>
              </w:rPr>
              <w:t>[2],[3]</w:t>
            </w:r>
          </w:p>
        </w:tc>
        <w:tc>
          <w:tcPr>
            <w:tcW w:w="0" w:type="dxa"/>
            <w:vAlign w:val="bottom"/>
          </w:tcPr>
          <w:p>
            <w:pPr>
              <w:spacing w:after="0"/>
              <w:rPr>
                <w:sz w:val="1"/>
                <w:szCs w:val="1"/>
                <w:color w:val="auto"/>
              </w:rPr>
            </w:pPr>
          </w:p>
        </w:tc>
      </w:tr>
      <w:tr>
        <w:trPr>
          <w:trHeight w:val="192"/>
        </w:trPr>
        <w:tc>
          <w:tcPr>
            <w:tcW w:w="1780" w:type="dxa"/>
            <w:vAlign w:val="bottom"/>
            <w:tcBorders>
              <w:bottom w:val="single" w:sz="8" w:color="ACACAC"/>
            </w:tcBorders>
          </w:tcPr>
          <w:p>
            <w:pPr>
              <w:ind w:left="20"/>
              <w:spacing w:after="0"/>
              <w:rPr>
                <w:sz w:val="20"/>
                <w:szCs w:val="20"/>
                <w:color w:val="auto"/>
              </w:rPr>
            </w:pPr>
            <w:r>
              <w:rPr>
                <w:rFonts w:ascii="Arial" w:cs="Arial" w:eastAsia="Arial" w:hAnsi="Arial"/>
                <w:sz w:val="14"/>
                <w:szCs w:val="14"/>
                <w:color w:val="auto"/>
              </w:rPr>
              <w:t>Europe</w:t>
            </w:r>
          </w:p>
        </w:tc>
        <w:tc>
          <w:tcPr>
            <w:tcW w:w="1360" w:type="dxa"/>
            <w:vAlign w:val="bottom"/>
            <w:tcBorders>
              <w:bottom w:val="single" w:sz="8" w:color="B6B6B6"/>
            </w:tcBorders>
          </w:tcPr>
          <w:p>
            <w:pPr>
              <w:ind w:left="400"/>
              <w:spacing w:after="0"/>
              <w:rPr>
                <w:sz w:val="20"/>
                <w:szCs w:val="20"/>
                <w:color w:val="auto"/>
              </w:rPr>
            </w:pPr>
            <w:r>
              <w:rPr>
                <w:rFonts w:ascii="Arial" w:cs="Arial" w:eastAsia="Arial" w:hAnsi="Arial"/>
                <w:sz w:val="14"/>
                <w:szCs w:val="14"/>
                <w:color w:val="auto"/>
              </w:rPr>
              <w:t>€3,549m</w:t>
            </w:r>
          </w:p>
        </w:tc>
        <w:tc>
          <w:tcPr>
            <w:tcW w:w="1140" w:type="dxa"/>
            <w:vAlign w:val="bottom"/>
            <w:tcBorders>
              <w:bottom w:val="single" w:sz="8" w:color="B6B6B6"/>
            </w:tcBorders>
          </w:tcPr>
          <w:p>
            <w:pPr>
              <w:jc w:val="center"/>
              <w:ind w:left="108"/>
              <w:spacing w:after="0"/>
              <w:rPr>
                <w:sz w:val="20"/>
                <w:szCs w:val="20"/>
                <w:color w:val="auto"/>
              </w:rPr>
            </w:pPr>
            <w:r>
              <w:rPr>
                <w:rFonts w:ascii="Arial" w:cs="Arial" w:eastAsia="Arial" w:hAnsi="Arial"/>
                <w:sz w:val="14"/>
                <w:szCs w:val="14"/>
                <w:color w:val="auto"/>
              </w:rPr>
              <w:t>596m</w:t>
            </w:r>
          </w:p>
        </w:tc>
        <w:tc>
          <w:tcPr>
            <w:tcW w:w="1520" w:type="dxa"/>
            <w:vAlign w:val="bottom"/>
            <w:tcBorders>
              <w:bottom w:val="single" w:sz="8" w:color="B6B6B6"/>
            </w:tcBorders>
          </w:tcPr>
          <w:p>
            <w:pPr>
              <w:jc w:val="center"/>
              <w:ind w:left="133"/>
              <w:spacing w:after="0"/>
              <w:rPr>
                <w:sz w:val="20"/>
                <w:szCs w:val="20"/>
                <w:color w:val="auto"/>
              </w:rPr>
            </w:pPr>
            <w:r>
              <w:rPr>
                <w:rFonts w:ascii="Arial" w:cs="Arial" w:eastAsia="Arial" w:hAnsi="Arial"/>
                <w:sz w:val="14"/>
                <w:szCs w:val="14"/>
                <w:color w:val="auto"/>
              </w:rPr>
              <w:t>€6.00</w:t>
            </w:r>
          </w:p>
        </w:tc>
        <w:tc>
          <w:tcPr>
            <w:tcW w:w="0" w:type="dxa"/>
            <w:vAlign w:val="bottom"/>
          </w:tcPr>
          <w:p>
            <w:pPr>
              <w:spacing w:after="0"/>
              <w:rPr>
                <w:sz w:val="1"/>
                <w:szCs w:val="1"/>
                <w:color w:val="auto"/>
              </w:rPr>
            </w:pPr>
          </w:p>
        </w:tc>
      </w:tr>
      <w:tr>
        <w:trPr>
          <w:trHeight w:val="196"/>
        </w:trPr>
        <w:tc>
          <w:tcPr>
            <w:tcW w:w="1780" w:type="dxa"/>
            <w:vAlign w:val="bottom"/>
            <w:tcBorders>
              <w:bottom w:val="single" w:sz="8" w:color="B6B6B6"/>
            </w:tcBorders>
          </w:tcPr>
          <w:p>
            <w:pPr>
              <w:ind w:left="20"/>
              <w:spacing w:after="0"/>
              <w:rPr>
                <w:sz w:val="20"/>
                <w:szCs w:val="20"/>
                <w:color w:val="auto"/>
              </w:rPr>
            </w:pPr>
            <w:r>
              <w:rPr>
                <w:rFonts w:ascii="Arial" w:cs="Arial" w:eastAsia="Arial" w:hAnsi="Arial"/>
                <w:sz w:val="14"/>
                <w:szCs w:val="14"/>
                <w:color w:val="auto"/>
              </w:rPr>
              <w:t>APS</w:t>
            </w:r>
          </w:p>
        </w:tc>
        <w:tc>
          <w:tcPr>
            <w:tcW w:w="1360" w:type="dxa"/>
            <w:vAlign w:val="bottom"/>
            <w:tcBorders>
              <w:bottom w:val="single" w:sz="8" w:color="B6B6B6"/>
            </w:tcBorders>
          </w:tcPr>
          <w:p>
            <w:pPr>
              <w:ind w:left="400"/>
              <w:spacing w:after="0"/>
              <w:rPr>
                <w:sz w:val="20"/>
                <w:szCs w:val="20"/>
                <w:color w:val="auto"/>
              </w:rPr>
            </w:pPr>
            <w:r>
              <w:rPr>
                <w:rFonts w:ascii="Arial" w:cs="Arial" w:eastAsia="Arial" w:hAnsi="Arial"/>
                <w:sz w:val="14"/>
                <w:szCs w:val="14"/>
                <w:color w:val="auto"/>
              </w:rPr>
              <w:t>€1,452m</w:t>
            </w:r>
          </w:p>
        </w:tc>
        <w:tc>
          <w:tcPr>
            <w:tcW w:w="1140" w:type="dxa"/>
            <w:vAlign w:val="bottom"/>
            <w:tcBorders>
              <w:bottom w:val="single" w:sz="8" w:color="B6B6B6"/>
            </w:tcBorders>
          </w:tcPr>
          <w:p>
            <w:pPr>
              <w:jc w:val="center"/>
              <w:ind w:left="108"/>
              <w:spacing w:after="0"/>
              <w:rPr>
                <w:sz w:val="20"/>
                <w:szCs w:val="20"/>
                <w:color w:val="auto"/>
              </w:rPr>
            </w:pPr>
            <w:r>
              <w:rPr>
                <w:rFonts w:ascii="Arial" w:cs="Arial" w:eastAsia="Arial" w:hAnsi="Arial"/>
                <w:sz w:val="14"/>
                <w:szCs w:val="14"/>
                <w:color w:val="auto"/>
              </w:rPr>
              <w:t>374m</w:t>
            </w:r>
          </w:p>
        </w:tc>
        <w:tc>
          <w:tcPr>
            <w:tcW w:w="1520" w:type="dxa"/>
            <w:vAlign w:val="bottom"/>
            <w:tcBorders>
              <w:bottom w:val="single" w:sz="8" w:color="B6B6B6"/>
            </w:tcBorders>
          </w:tcPr>
          <w:p>
            <w:pPr>
              <w:jc w:val="center"/>
              <w:ind w:left="133"/>
              <w:spacing w:after="0"/>
              <w:rPr>
                <w:sz w:val="20"/>
                <w:szCs w:val="20"/>
                <w:color w:val="auto"/>
              </w:rPr>
            </w:pPr>
            <w:r>
              <w:rPr>
                <w:rFonts w:ascii="Arial" w:cs="Arial" w:eastAsia="Arial" w:hAnsi="Arial"/>
                <w:sz w:val="14"/>
                <w:szCs w:val="14"/>
                <w:color w:val="auto"/>
              </w:rPr>
              <w:t>€4.17</w:t>
            </w:r>
          </w:p>
        </w:tc>
        <w:tc>
          <w:tcPr>
            <w:tcW w:w="0" w:type="dxa"/>
            <w:vAlign w:val="bottom"/>
          </w:tcPr>
          <w:p>
            <w:pPr>
              <w:spacing w:after="0"/>
              <w:rPr>
                <w:sz w:val="1"/>
                <w:szCs w:val="1"/>
                <w:color w:val="auto"/>
              </w:rPr>
            </w:pPr>
          </w:p>
        </w:tc>
      </w:tr>
      <w:tr>
        <w:trPr>
          <w:trHeight w:val="199"/>
        </w:trPr>
        <w:tc>
          <w:tcPr>
            <w:tcW w:w="1780" w:type="dxa"/>
            <w:vAlign w:val="bottom"/>
            <w:tcBorders>
              <w:bottom w:val="single" w:sz="8" w:color="ACACAC"/>
            </w:tcBorders>
            <w:shd w:val="clear" w:color="auto" w:fill="DBDBDB"/>
          </w:tcPr>
          <w:p>
            <w:pPr>
              <w:ind w:left="20"/>
              <w:spacing w:after="0"/>
              <w:rPr>
                <w:sz w:val="20"/>
                <w:szCs w:val="20"/>
                <w:color w:val="auto"/>
              </w:rPr>
            </w:pPr>
            <w:r>
              <w:rPr>
                <w:rFonts w:ascii="Arial" w:cs="Arial" w:eastAsia="Arial" w:hAnsi="Arial"/>
                <w:sz w:val="14"/>
                <w:szCs w:val="14"/>
                <w:b w:val="1"/>
                <w:bCs w:val="1"/>
                <w:color w:val="auto"/>
              </w:rPr>
              <w:t>CCEP</w:t>
            </w:r>
          </w:p>
        </w:tc>
        <w:tc>
          <w:tcPr>
            <w:tcW w:w="1360" w:type="dxa"/>
            <w:vAlign w:val="bottom"/>
            <w:tcBorders>
              <w:bottom w:val="single" w:sz="8" w:color="B6B6B6"/>
            </w:tcBorders>
            <w:shd w:val="clear" w:color="auto" w:fill="DBDBDB"/>
          </w:tcPr>
          <w:p>
            <w:pPr>
              <w:ind w:left="400"/>
              <w:spacing w:after="0"/>
              <w:rPr>
                <w:sz w:val="20"/>
                <w:szCs w:val="20"/>
                <w:color w:val="auto"/>
              </w:rPr>
            </w:pPr>
            <w:r>
              <w:rPr>
                <w:rFonts w:ascii="Arial" w:cs="Arial" w:eastAsia="Arial" w:hAnsi="Arial"/>
                <w:sz w:val="14"/>
                <w:szCs w:val="14"/>
                <w:b w:val="1"/>
                <w:bCs w:val="1"/>
                <w:color w:val="auto"/>
              </w:rPr>
              <w:t>€5,001m</w:t>
            </w:r>
          </w:p>
        </w:tc>
        <w:tc>
          <w:tcPr>
            <w:tcW w:w="1140" w:type="dxa"/>
            <w:vAlign w:val="bottom"/>
            <w:tcBorders>
              <w:bottom w:val="single" w:sz="8" w:color="B6B6B6"/>
            </w:tcBorders>
            <w:shd w:val="clear" w:color="auto" w:fill="DBDBDB"/>
          </w:tcPr>
          <w:p>
            <w:pPr>
              <w:jc w:val="center"/>
              <w:ind w:left="108"/>
              <w:spacing w:after="0"/>
              <w:rPr>
                <w:sz w:val="20"/>
                <w:szCs w:val="20"/>
                <w:color w:val="auto"/>
              </w:rPr>
            </w:pPr>
            <w:r>
              <w:rPr>
                <w:rFonts w:ascii="Arial" w:cs="Arial" w:eastAsia="Arial" w:hAnsi="Arial"/>
                <w:sz w:val="14"/>
                <w:szCs w:val="14"/>
                <w:b w:val="1"/>
                <w:bCs w:val="1"/>
                <w:color w:val="auto"/>
              </w:rPr>
              <w:t>970m</w:t>
            </w:r>
          </w:p>
        </w:tc>
        <w:tc>
          <w:tcPr>
            <w:tcW w:w="1520" w:type="dxa"/>
            <w:vAlign w:val="bottom"/>
            <w:tcBorders>
              <w:bottom w:val="single" w:sz="8" w:color="B6B6B6"/>
            </w:tcBorders>
            <w:shd w:val="clear" w:color="auto" w:fill="DBDBDB"/>
          </w:tcPr>
          <w:p>
            <w:pPr>
              <w:jc w:val="center"/>
              <w:ind w:left="133"/>
              <w:spacing w:after="0"/>
              <w:rPr>
                <w:sz w:val="20"/>
                <w:szCs w:val="20"/>
                <w:color w:val="auto"/>
              </w:rPr>
            </w:pPr>
            <w:r>
              <w:rPr>
                <w:rFonts w:ascii="Arial" w:cs="Arial" w:eastAsia="Arial" w:hAnsi="Arial"/>
                <w:sz w:val="14"/>
                <w:szCs w:val="14"/>
                <w:b w:val="1"/>
                <w:bCs w:val="1"/>
                <w:color w:val="auto"/>
              </w:rPr>
              <w:t>€5.29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Change vs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23495</wp:posOffset>
            </wp:positionV>
            <wp:extent cx="33947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160" w:type="dxa"/>
            <w:vAlign w:val="bottom"/>
            <w:vMerge w:val="restart"/>
          </w:tcPr>
          <w:p>
            <w:pPr>
              <w:jc w:val="center"/>
              <w:ind w:left="88"/>
              <w:spacing w:after="0"/>
              <w:rPr>
                <w:sz w:val="20"/>
                <w:szCs w:val="20"/>
                <w:color w:val="auto"/>
              </w:rPr>
            </w:pPr>
            <w:r>
              <w:rPr>
                <w:rFonts w:ascii="Arial" w:cs="Arial" w:eastAsia="Arial" w:hAnsi="Arial"/>
                <w:sz w:val="14"/>
                <w:szCs w:val="14"/>
                <w:b w:val="1"/>
                <w:bCs w:val="1"/>
                <w:color w:val="auto"/>
                <w:w w:val="99"/>
              </w:rPr>
              <w:t>Volume*</w:t>
            </w:r>
          </w:p>
        </w:tc>
        <w:tc>
          <w:tcPr>
            <w:tcW w:w="1520" w:type="dxa"/>
            <w:vAlign w:val="bottom"/>
          </w:tcPr>
          <w:p>
            <w:pPr>
              <w:ind w:left="220"/>
              <w:spacing w:after="0"/>
              <w:rPr>
                <w:sz w:val="20"/>
                <w:szCs w:val="20"/>
                <w:color w:val="auto"/>
              </w:rPr>
            </w:pPr>
            <w:r>
              <w:rPr>
                <w:rFonts w:ascii="Arial" w:cs="Arial" w:eastAsia="Arial" w:hAnsi="Arial"/>
                <w:sz w:val="14"/>
                <w:szCs w:val="14"/>
                <w:b w:val="1"/>
                <w:bCs w:val="1"/>
                <w:color w:val="auto"/>
              </w:rPr>
              <w:t>Revenue per UC</w:t>
            </w:r>
            <w:r>
              <w:rPr>
                <w:rFonts w:ascii="Arial" w:cs="Arial" w:eastAsia="Arial" w:hAnsi="Arial"/>
                <w:sz w:val="18"/>
                <w:szCs w:val="18"/>
                <w:b w:val="1"/>
                <w:bCs w:val="1"/>
                <w:color w:val="auto"/>
                <w:vertAlign w:val="superscript"/>
              </w:rPr>
              <w:t>[1],</w:t>
            </w:r>
          </w:p>
        </w:tc>
        <w:tc>
          <w:tcPr>
            <w:tcW w:w="36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9"/>
              </w:rPr>
              <w:t>FXN</w:t>
            </w:r>
          </w:p>
        </w:tc>
        <w:tc>
          <w:tcPr>
            <w:tcW w:w="260" w:type="dxa"/>
            <w:vAlign w:val="bottom"/>
          </w:tcPr>
          <w:p>
            <w:pPr>
              <w:jc w:val="right"/>
              <w:spacing w:after="0"/>
              <w:rPr>
                <w:sz w:val="20"/>
                <w:szCs w:val="20"/>
                <w:color w:val="auto"/>
              </w:rPr>
            </w:pPr>
            <w:r>
              <w:rPr>
                <w:rFonts w:ascii="Arial" w:cs="Arial" w:eastAsia="Arial" w:hAnsi="Arial"/>
                <w:sz w:val="9"/>
                <w:szCs w:val="9"/>
                <w:b w:val="1"/>
                <w:bCs w:val="1"/>
                <w:color w:val="auto"/>
                <w:w w:val="89"/>
              </w:rPr>
              <w:t>[1],[3]</w:t>
            </w:r>
          </w:p>
        </w:tc>
        <w:tc>
          <w:tcPr>
            <w:tcW w:w="84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Revenue</w:t>
            </w:r>
          </w:p>
        </w:tc>
        <w:tc>
          <w:tcPr>
            <w:tcW w:w="120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127"/>
        </w:trPr>
        <w:tc>
          <w:tcPr>
            <w:tcW w:w="1160" w:type="dxa"/>
            <w:vAlign w:val="bottom"/>
            <w:vMerge w:val="continue"/>
          </w:tcPr>
          <w:p>
            <w:pPr>
              <w:spacing w:after="0"/>
              <w:rPr>
                <w:sz w:val="11"/>
                <w:szCs w:val="11"/>
                <w:color w:val="auto"/>
              </w:rPr>
            </w:pPr>
          </w:p>
        </w:tc>
        <w:tc>
          <w:tcPr>
            <w:tcW w:w="1520" w:type="dxa"/>
            <w:vAlign w:val="bottom"/>
          </w:tcPr>
          <w:p>
            <w:pPr>
              <w:jc w:val="center"/>
              <w:ind w:left="93"/>
              <w:spacing w:after="0"/>
              <w:rPr>
                <w:sz w:val="20"/>
                <w:szCs w:val="20"/>
                <w:color w:val="auto"/>
              </w:rPr>
            </w:pPr>
            <w:r>
              <w:rPr>
                <w:rFonts w:ascii="Arial" w:cs="Arial" w:eastAsia="Arial" w:hAnsi="Arial"/>
                <w:sz w:val="9"/>
                <w:szCs w:val="9"/>
                <w:b w:val="1"/>
                <w:bCs w:val="1"/>
                <w:color w:val="auto"/>
                <w:w w:val="97"/>
              </w:rPr>
              <w:t>[2],[3]</w:t>
            </w:r>
          </w:p>
        </w:tc>
        <w:tc>
          <w:tcPr>
            <w:tcW w:w="3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9"/>
        </w:trPr>
        <w:tc>
          <w:tcPr>
            <w:tcW w:w="1160" w:type="dxa"/>
            <w:vAlign w:val="bottom"/>
            <w:tcBorders>
              <w:bottom w:val="single" w:sz="8" w:color="EE2724"/>
            </w:tcBorders>
          </w:tcPr>
          <w:p>
            <w:pPr>
              <w:spacing w:after="0"/>
              <w:rPr>
                <w:sz w:val="4"/>
                <w:szCs w:val="4"/>
                <w:color w:val="auto"/>
              </w:rPr>
            </w:pPr>
          </w:p>
        </w:tc>
        <w:tc>
          <w:tcPr>
            <w:tcW w:w="1520" w:type="dxa"/>
            <w:vAlign w:val="bottom"/>
            <w:tcBorders>
              <w:bottom w:val="single" w:sz="8" w:color="EE2724"/>
            </w:tcBorders>
          </w:tcPr>
          <w:p>
            <w:pPr>
              <w:spacing w:after="0"/>
              <w:rPr>
                <w:sz w:val="4"/>
                <w:szCs w:val="4"/>
                <w:color w:val="auto"/>
              </w:rPr>
            </w:pPr>
          </w:p>
        </w:tc>
        <w:tc>
          <w:tcPr>
            <w:tcW w:w="360" w:type="dxa"/>
            <w:vAlign w:val="bottom"/>
            <w:tcBorders>
              <w:bottom w:val="single" w:sz="8" w:color="EE2724"/>
            </w:tcBorders>
          </w:tcPr>
          <w:p>
            <w:pPr>
              <w:spacing w:after="0"/>
              <w:rPr>
                <w:sz w:val="4"/>
                <w:szCs w:val="4"/>
                <w:color w:val="auto"/>
              </w:rPr>
            </w:pPr>
          </w:p>
        </w:tc>
        <w:tc>
          <w:tcPr>
            <w:tcW w:w="1100" w:type="dxa"/>
            <w:vAlign w:val="bottom"/>
            <w:tcBorders>
              <w:bottom w:val="single" w:sz="8" w:color="EE2724"/>
            </w:tcBorders>
            <w:gridSpan w:val="2"/>
          </w:tcPr>
          <w:p>
            <w:pPr>
              <w:spacing w:after="0"/>
              <w:rPr>
                <w:sz w:val="4"/>
                <w:szCs w:val="4"/>
                <w:color w:val="auto"/>
              </w:rPr>
            </w:pPr>
          </w:p>
        </w:tc>
        <w:tc>
          <w:tcPr>
            <w:tcW w:w="1200" w:type="dxa"/>
            <w:vAlign w:val="bottom"/>
            <w:tcBorders>
              <w:bottom w:val="single" w:sz="8" w:color="EE2724"/>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1160" w:type="dxa"/>
            <w:vAlign w:val="bottom"/>
            <w:tcBorders>
              <w:bottom w:val="single" w:sz="8" w:color="B6B6B6"/>
            </w:tcBorders>
          </w:tcPr>
          <w:p>
            <w:pPr>
              <w:jc w:val="center"/>
              <w:ind w:left="88"/>
              <w:spacing w:after="0"/>
              <w:rPr>
                <w:sz w:val="20"/>
                <w:szCs w:val="20"/>
                <w:color w:val="auto"/>
              </w:rPr>
            </w:pPr>
            <w:r>
              <w:rPr>
                <w:rFonts w:ascii="Arial" w:cs="Arial" w:eastAsia="Arial" w:hAnsi="Arial"/>
                <w:sz w:val="14"/>
                <w:szCs w:val="14"/>
                <w:color w:val="auto"/>
              </w:rPr>
              <w:t>8.4%</w:t>
            </w:r>
          </w:p>
        </w:tc>
        <w:tc>
          <w:tcPr>
            <w:tcW w:w="1520" w:type="dxa"/>
            <w:vAlign w:val="bottom"/>
            <w:tcBorders>
              <w:bottom w:val="single" w:sz="8" w:color="B6B6B6"/>
            </w:tcBorders>
          </w:tcPr>
          <w:p>
            <w:pPr>
              <w:jc w:val="center"/>
              <w:ind w:left="93"/>
              <w:spacing w:after="0"/>
              <w:rPr>
                <w:sz w:val="20"/>
                <w:szCs w:val="20"/>
                <w:color w:val="auto"/>
              </w:rPr>
            </w:pPr>
            <w:r>
              <w:rPr>
                <w:rFonts w:ascii="Arial" w:cs="Arial" w:eastAsia="Arial" w:hAnsi="Arial"/>
                <w:sz w:val="14"/>
                <w:szCs w:val="14"/>
                <w:color w:val="auto"/>
              </w:rPr>
              <w:t>1.3%</w:t>
            </w:r>
          </w:p>
        </w:tc>
        <w:tc>
          <w:tcPr>
            <w:tcW w:w="360" w:type="dxa"/>
            <w:vAlign w:val="bottom"/>
            <w:tcBorders>
              <w:bottom w:val="single" w:sz="8" w:color="B6B6B6"/>
            </w:tcBorders>
          </w:tcPr>
          <w:p>
            <w:pPr>
              <w:spacing w:after="0"/>
              <w:rPr>
                <w:sz w:val="16"/>
                <w:szCs w:val="16"/>
                <w:color w:val="auto"/>
              </w:rPr>
            </w:pPr>
          </w:p>
        </w:tc>
        <w:tc>
          <w:tcPr>
            <w:tcW w:w="1100" w:type="dxa"/>
            <w:vAlign w:val="bottom"/>
            <w:tcBorders>
              <w:bottom w:val="single" w:sz="8" w:color="B6B6B6"/>
            </w:tcBorders>
            <w:gridSpan w:val="2"/>
          </w:tcPr>
          <w:p>
            <w:pPr>
              <w:jc w:val="right"/>
              <w:ind w:right="568"/>
              <w:spacing w:after="0"/>
              <w:rPr>
                <w:sz w:val="20"/>
                <w:szCs w:val="20"/>
                <w:color w:val="auto"/>
              </w:rPr>
            </w:pPr>
            <w:r>
              <w:rPr>
                <w:rFonts w:ascii="Arial" w:cs="Arial" w:eastAsia="Arial" w:hAnsi="Arial"/>
                <w:sz w:val="14"/>
                <w:szCs w:val="14"/>
                <w:color w:val="auto"/>
              </w:rPr>
              <w:t>9.8%</w:t>
            </w:r>
          </w:p>
        </w:tc>
        <w:tc>
          <w:tcPr>
            <w:tcW w:w="1200" w:type="dxa"/>
            <w:vAlign w:val="bottom"/>
            <w:tcBorders>
              <w:bottom w:val="single" w:sz="8" w:color="B6B6B6"/>
            </w:tcBorders>
          </w:tcPr>
          <w:p>
            <w:pPr>
              <w:jc w:val="center"/>
              <w:ind w:right="68"/>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96"/>
        </w:trPr>
        <w:tc>
          <w:tcPr>
            <w:tcW w:w="1160" w:type="dxa"/>
            <w:vAlign w:val="bottom"/>
            <w:tcBorders>
              <w:bottom w:val="single" w:sz="8" w:color="B6B6B6"/>
            </w:tcBorders>
          </w:tcPr>
          <w:p>
            <w:pPr>
              <w:jc w:val="center"/>
              <w:ind w:left="88"/>
              <w:spacing w:after="0"/>
              <w:rPr>
                <w:sz w:val="20"/>
                <w:szCs w:val="20"/>
                <w:color w:val="auto"/>
              </w:rPr>
            </w:pPr>
            <w:r>
              <w:rPr>
                <w:rFonts w:ascii="Arial" w:cs="Arial" w:eastAsia="Arial" w:hAnsi="Arial"/>
                <w:sz w:val="14"/>
                <w:szCs w:val="14"/>
                <w:color w:val="auto"/>
              </w:rPr>
              <w:t>8.7%</w:t>
            </w:r>
          </w:p>
        </w:tc>
        <w:tc>
          <w:tcPr>
            <w:tcW w:w="1520" w:type="dxa"/>
            <w:vAlign w:val="bottom"/>
            <w:tcBorders>
              <w:bottom w:val="single" w:sz="8" w:color="B6B6B6"/>
            </w:tcBorders>
          </w:tcPr>
          <w:p>
            <w:pPr>
              <w:jc w:val="center"/>
              <w:ind w:left="93"/>
              <w:spacing w:after="0"/>
              <w:rPr>
                <w:sz w:val="20"/>
                <w:szCs w:val="20"/>
                <w:color w:val="auto"/>
              </w:rPr>
            </w:pPr>
            <w:r>
              <w:rPr>
                <w:rFonts w:ascii="Arial" w:cs="Arial" w:eastAsia="Arial" w:hAnsi="Arial"/>
                <w:sz w:val="14"/>
                <w:szCs w:val="14"/>
                <w:color w:val="auto"/>
              </w:rPr>
              <w:t>(0.3)%</w:t>
            </w:r>
          </w:p>
        </w:tc>
        <w:tc>
          <w:tcPr>
            <w:tcW w:w="360" w:type="dxa"/>
            <w:vAlign w:val="bottom"/>
            <w:tcBorders>
              <w:bottom w:val="single" w:sz="8" w:color="B6B6B6"/>
            </w:tcBorders>
          </w:tcPr>
          <w:p>
            <w:pPr>
              <w:spacing w:after="0"/>
              <w:rPr>
                <w:sz w:val="17"/>
                <w:szCs w:val="17"/>
                <w:color w:val="auto"/>
              </w:rPr>
            </w:pPr>
          </w:p>
        </w:tc>
        <w:tc>
          <w:tcPr>
            <w:tcW w:w="1100" w:type="dxa"/>
            <w:vAlign w:val="bottom"/>
            <w:tcBorders>
              <w:bottom w:val="single" w:sz="8" w:color="B6B6B6"/>
            </w:tcBorders>
            <w:gridSpan w:val="2"/>
          </w:tcPr>
          <w:p>
            <w:pPr>
              <w:jc w:val="right"/>
              <w:ind w:right="568"/>
              <w:spacing w:after="0"/>
              <w:rPr>
                <w:sz w:val="20"/>
                <w:szCs w:val="20"/>
                <w:color w:val="auto"/>
              </w:rPr>
            </w:pPr>
            <w:r>
              <w:rPr>
                <w:rFonts w:ascii="Arial" w:cs="Arial" w:eastAsia="Arial" w:hAnsi="Arial"/>
                <w:sz w:val="14"/>
                <w:szCs w:val="14"/>
                <w:color w:val="auto"/>
              </w:rPr>
              <w:t>8.6%</w:t>
            </w:r>
          </w:p>
        </w:tc>
        <w:tc>
          <w:tcPr>
            <w:tcW w:w="1200" w:type="dxa"/>
            <w:vAlign w:val="bottom"/>
            <w:tcBorders>
              <w:bottom w:val="single" w:sz="8" w:color="B6B6B6"/>
            </w:tcBorders>
          </w:tcPr>
          <w:p>
            <w:pPr>
              <w:jc w:val="center"/>
              <w:ind w:right="6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99"/>
        </w:trPr>
        <w:tc>
          <w:tcPr>
            <w:tcW w:w="1160" w:type="dxa"/>
            <w:vAlign w:val="bottom"/>
            <w:tcBorders>
              <w:bottom w:val="single" w:sz="8" w:color="B6B6B6"/>
            </w:tcBorders>
            <w:shd w:val="clear" w:color="auto" w:fill="DBDBDB"/>
          </w:tcPr>
          <w:p>
            <w:pPr>
              <w:jc w:val="center"/>
              <w:ind w:left="88"/>
              <w:spacing w:after="0"/>
              <w:rPr>
                <w:sz w:val="20"/>
                <w:szCs w:val="20"/>
                <w:color w:val="auto"/>
              </w:rPr>
            </w:pPr>
            <w:r>
              <w:rPr>
                <w:rFonts w:ascii="Arial" w:cs="Arial" w:eastAsia="Arial" w:hAnsi="Arial"/>
                <w:sz w:val="14"/>
                <w:szCs w:val="14"/>
                <w:b w:val="1"/>
                <w:bCs w:val="1"/>
                <w:color w:val="auto"/>
              </w:rPr>
              <w:t>8.5%</w:t>
            </w:r>
          </w:p>
        </w:tc>
        <w:tc>
          <w:tcPr>
            <w:tcW w:w="1520" w:type="dxa"/>
            <w:vAlign w:val="bottom"/>
            <w:tcBorders>
              <w:bottom w:val="single" w:sz="8" w:color="B6B6B6"/>
            </w:tcBorders>
            <w:shd w:val="clear" w:color="auto" w:fill="DBDBDB"/>
          </w:tcPr>
          <w:p>
            <w:pPr>
              <w:jc w:val="center"/>
              <w:ind w:left="93"/>
              <w:spacing w:after="0"/>
              <w:rPr>
                <w:sz w:val="20"/>
                <w:szCs w:val="20"/>
                <w:color w:val="auto"/>
              </w:rPr>
            </w:pPr>
            <w:r>
              <w:rPr>
                <w:rFonts w:ascii="Arial" w:cs="Arial" w:eastAsia="Arial" w:hAnsi="Arial"/>
                <w:sz w:val="14"/>
                <w:szCs w:val="14"/>
                <w:b w:val="1"/>
                <w:bCs w:val="1"/>
                <w:color w:val="auto"/>
              </w:rPr>
              <w:t>0.8%</w:t>
            </w:r>
          </w:p>
        </w:tc>
        <w:tc>
          <w:tcPr>
            <w:tcW w:w="360" w:type="dxa"/>
            <w:vAlign w:val="bottom"/>
            <w:tcBorders>
              <w:bottom w:val="single" w:sz="8" w:color="B6B6B6"/>
            </w:tcBorders>
            <w:shd w:val="clear" w:color="auto" w:fill="DBDBDB"/>
          </w:tcPr>
          <w:p>
            <w:pPr>
              <w:spacing w:after="0"/>
              <w:rPr>
                <w:sz w:val="17"/>
                <w:szCs w:val="17"/>
                <w:color w:val="auto"/>
              </w:rPr>
            </w:pPr>
          </w:p>
        </w:tc>
        <w:tc>
          <w:tcPr>
            <w:tcW w:w="1100" w:type="dxa"/>
            <w:vAlign w:val="bottom"/>
            <w:tcBorders>
              <w:bottom w:val="single" w:sz="8" w:color="B6B6B6"/>
            </w:tcBorders>
            <w:gridSpan w:val="2"/>
            <w:shd w:val="clear" w:color="auto" w:fill="DBDBDB"/>
          </w:tcPr>
          <w:p>
            <w:pPr>
              <w:jc w:val="right"/>
              <w:ind w:right="568"/>
              <w:spacing w:after="0"/>
              <w:rPr>
                <w:sz w:val="20"/>
                <w:szCs w:val="20"/>
                <w:color w:val="auto"/>
              </w:rPr>
            </w:pPr>
            <w:r>
              <w:rPr>
                <w:rFonts w:ascii="Arial" w:cs="Arial" w:eastAsia="Arial" w:hAnsi="Arial"/>
                <w:sz w:val="14"/>
                <w:szCs w:val="14"/>
                <w:b w:val="1"/>
                <w:bCs w:val="1"/>
                <w:color w:val="auto"/>
              </w:rPr>
              <w:t>9.4%</w:t>
            </w:r>
          </w:p>
        </w:tc>
        <w:tc>
          <w:tcPr>
            <w:tcW w:w="1200" w:type="dxa"/>
            <w:vAlign w:val="bottom"/>
            <w:tcBorders>
              <w:bottom w:val="single" w:sz="8" w:color="B6B6B6"/>
            </w:tcBorders>
            <w:shd w:val="clear" w:color="auto" w:fill="DBDBDB"/>
          </w:tcPr>
          <w:p>
            <w:pPr>
              <w:jc w:val="center"/>
              <w:ind w:right="68"/>
              <w:spacing w:after="0"/>
              <w:rPr>
                <w:sz w:val="20"/>
                <w:szCs w:val="20"/>
                <w:color w:val="auto"/>
              </w:rPr>
            </w:pPr>
            <w:r>
              <w:rPr>
                <w:rFonts w:ascii="Arial" w:cs="Arial" w:eastAsia="Arial" w:hAnsi="Arial"/>
                <w:sz w:val="14"/>
                <w:szCs w:val="14"/>
                <w:b w:val="1"/>
                <w:bCs w:val="1"/>
                <w:color w:val="auto"/>
              </w:rPr>
              <w:t>6.7%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800" w:space="100"/>
            <w:col w:w="5340"/>
          </w:cols>
          <w:pgMar w:left="320" w:top="65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220" w:firstLine="8"/>
        <w:spacing w:after="0" w:line="271" w:lineRule="auto"/>
        <w:tabs>
          <w:tab w:leader="none" w:pos="84" w:val="left"/>
        </w:tabs>
        <w:numPr>
          <w:ilvl w:val="0"/>
          <w:numId w:val="2"/>
        </w:numPr>
        <w:rPr>
          <w:rFonts w:ascii="Arial" w:cs="Arial" w:eastAsia="Arial" w:hAnsi="Arial"/>
          <w:sz w:val="13"/>
          <w:szCs w:val="13"/>
          <w:color w:val="auto"/>
        </w:rPr>
      </w:pPr>
      <w:r>
        <w:rPr>
          <w:rFonts w:ascii="Arial" w:cs="Arial" w:eastAsia="Arial" w:hAnsi="Arial"/>
          <w:sz w:val="13"/>
          <w:szCs w:val="13"/>
          <w:color w:val="auto"/>
        </w:rPr>
        <w:t>Volume is disclosed on a reported basis which includes six additional consumption days versus the comparative period. On a comparable basis Group volumes grew by 1.6% (Europe: +1.4%; APS: +1.9%)</w:t>
      </w:r>
      <w:r>
        <w:rPr>
          <w:rFonts w:ascii="Arial" w:cs="Arial" w:eastAsia="Arial" w:hAnsi="Arial"/>
          <w:sz w:val="16"/>
          <w:szCs w:val="16"/>
          <w:color w:val="auto"/>
          <w:vertAlign w:val="superscript"/>
        </w:rPr>
        <w:t>[4]</w:t>
      </w:r>
      <w:r>
        <w:rPr>
          <w:rFonts w:ascii="Arial" w:cs="Arial" w:eastAsia="Arial" w:hAnsi="Arial"/>
          <w:sz w:val="13"/>
          <w:szCs w:val="13"/>
          <w:color w:val="auto"/>
        </w:rPr>
        <w:t>. Volume % throughout the release refers to comparable movements unless otherwise stated.</w:t>
      </w:r>
    </w:p>
    <w:p>
      <w:pPr>
        <w:spacing w:after="0" w:line="150" w:lineRule="exact"/>
        <w:rPr>
          <w:sz w:val="20"/>
          <w:szCs w:val="20"/>
          <w:color w:val="auto"/>
        </w:rPr>
      </w:pPr>
    </w:p>
    <w:p>
      <w:pPr>
        <w:spacing w:after="0"/>
        <w:rPr>
          <w:sz w:val="20"/>
          <w:szCs w:val="20"/>
          <w:color w:val="auto"/>
        </w:rPr>
      </w:pPr>
      <w:r>
        <w:rPr>
          <w:rFonts w:ascii="Arial" w:cs="Arial" w:eastAsia="Arial" w:hAnsi="Arial"/>
          <w:sz w:val="13"/>
          <w:szCs w:val="13"/>
          <w:color w:val="auto"/>
        </w:rPr>
        <w:t>All footnotes included alongside the ‘Volume performance by category’section.</w:t>
      </w:r>
    </w:p>
    <w:p>
      <w:pPr>
        <w:sectPr>
          <w:pgSz w:w="11900" w:h="16838" w:orient="portrait"/>
          <w:cols w:equalWidth="0" w:num="1">
            <w:col w:w="11240"/>
          </w:cols>
          <w:pgMar w:left="320" w:top="657" w:right="339" w:bottom="1440" w:gutter="0" w:footer="0" w:header="0"/>
          <w:type w:val="continuous"/>
        </w:sectPr>
      </w:pPr>
    </w:p>
    <w:bookmarkStart w:id="2" w:name="page3"/>
    <w:bookmarkEnd w:id="2"/>
    <w:p>
      <w:pPr>
        <w:jc w:val="right"/>
        <w:spacing w:after="0"/>
        <w:rPr>
          <w:sz w:val="20"/>
          <w:szCs w:val="20"/>
          <w:color w:val="auto"/>
        </w:rPr>
      </w:pPr>
      <w:r>
        <w:rPr>
          <w:rFonts w:ascii="Arial" w:cs="Arial" w:eastAsia="Arial" w:hAnsi="Arial"/>
          <w:sz w:val="14"/>
          <w:szCs w:val="14"/>
          <w:color w:val="F40009"/>
        </w:rPr>
        <w:drawing>
          <wp:anchor simplePos="0" relativeHeight="251657728" behindDoc="1" locked="0" layoutInCell="0" allowOverlap="1">
            <wp:simplePos x="0" y="0"/>
            <wp:positionH relativeFrom="page">
              <wp:posOffset>216535</wp:posOffset>
            </wp:positionH>
            <wp:positionV relativeFrom="page">
              <wp:posOffset>165735</wp:posOffset>
            </wp:positionV>
            <wp:extent cx="1663065" cy="3175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663065" cy="317500"/>
                    </a:xfrm>
                    <a:prstGeom prst="rect">
                      <a:avLst/>
                    </a:prstGeom>
                    <a:noFill/>
                  </pic:spPr>
                </pic:pic>
              </a:graphicData>
            </a:graphic>
          </wp:anchor>
        </w:drawing>
        <w:t xml:space="preserve">P a g e | </w:t>
      </w:r>
      <w:r>
        <w:rPr>
          <w:rFonts w:ascii="Arial" w:cs="Arial" w:eastAsia="Arial" w:hAnsi="Arial"/>
          <w:sz w:val="14"/>
          <w:szCs w:val="14"/>
          <w:b w:val="1"/>
          <w:bCs w:val="1"/>
          <w:color w:val="000000"/>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Q1 HIGHLIGHTS</w:t>
      </w:r>
      <w:r>
        <w:rPr>
          <w:rFonts w:ascii="Arial" w:cs="Arial" w:eastAsia="Arial" w:hAnsi="Arial"/>
          <w:sz w:val="21"/>
          <w:szCs w:val="21"/>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Volume &amp; revenue</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Q1 Reported Revenue +6.7%; FXN +9.4%</w:t>
      </w:r>
    </w:p>
    <w:p>
      <w:pPr>
        <w:ind w:left="320" w:hanging="312"/>
        <w:spacing w:after="0" w:line="190" w:lineRule="auto"/>
        <w:tabs>
          <w:tab w:leader="none" w:pos="32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#1 value creator, delivering more revenue growth for retail customers than all FMCG peers</w:t>
      </w:r>
      <w:r>
        <w:rPr>
          <w:rFonts w:ascii="Arial" w:cs="Arial" w:eastAsia="Arial" w:hAnsi="Arial"/>
          <w:sz w:val="21"/>
          <w:szCs w:val="21"/>
          <w:color w:val="auto"/>
          <w:vertAlign w:val="superscript"/>
        </w:rPr>
        <w:t>[5]</w:t>
      </w:r>
    </w:p>
    <w:p>
      <w:pPr>
        <w:ind w:left="320" w:hanging="312"/>
        <w:spacing w:after="0" w:line="183" w:lineRule="auto"/>
        <w:tabs>
          <w:tab w:leader="none" w:pos="320" w:val="left"/>
        </w:tabs>
        <w:numPr>
          <w:ilvl w:val="0"/>
          <w:numId w:val="3"/>
        </w:numPr>
        <w:rPr>
          <w:rFonts w:ascii="Arial" w:cs="Arial" w:eastAsia="Arial" w:hAnsi="Arial"/>
          <w:sz w:val="15"/>
          <w:szCs w:val="15"/>
          <w:color w:val="auto"/>
        </w:rPr>
      </w:pPr>
      <w:r>
        <w:rPr>
          <w:rFonts w:ascii="Arial" w:cs="Arial" w:eastAsia="Arial" w:hAnsi="Arial"/>
          <w:sz w:val="15"/>
          <w:szCs w:val="15"/>
          <w:color w:val="auto"/>
        </w:rPr>
        <w:t>NARTD category grew</w:t>
      </w:r>
      <w:r>
        <w:rPr>
          <w:rFonts w:ascii="Arial" w:cs="Arial" w:eastAsia="Arial" w:hAnsi="Arial"/>
          <w:sz w:val="20"/>
          <w:szCs w:val="20"/>
          <w:color w:val="auto"/>
          <w:vertAlign w:val="superscript"/>
        </w:rPr>
        <w:t>[5]</w:t>
      </w:r>
      <w:r>
        <w:rPr>
          <w:rFonts w:ascii="Arial" w:cs="Arial" w:eastAsia="Arial" w:hAnsi="Arial"/>
          <w:sz w:val="15"/>
          <w:szCs w:val="15"/>
          <w:color w:val="auto"/>
        </w:rPr>
        <w:t>: +4% value, +3% volume</w:t>
      </w:r>
    </w:p>
    <w:p>
      <w:pPr>
        <w:ind w:left="320" w:hanging="312"/>
        <w:spacing w:after="0" w:line="187" w:lineRule="auto"/>
        <w:tabs>
          <w:tab w:leader="none" w:pos="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NARTD YTD value share</w:t>
      </w:r>
      <w:r>
        <w:rPr>
          <w:rFonts w:ascii="Arial" w:cs="Arial" w:eastAsia="Arial" w:hAnsi="Arial"/>
          <w:sz w:val="21"/>
          <w:szCs w:val="21"/>
          <w:color w:val="auto"/>
          <w:vertAlign w:val="superscript"/>
        </w:rPr>
        <w:t>[5]</w:t>
      </w:r>
      <w:r>
        <w:rPr>
          <w:rFonts w:ascii="Arial" w:cs="Arial" w:eastAsia="Arial" w:hAnsi="Arial"/>
          <w:sz w:val="16"/>
          <w:szCs w:val="16"/>
          <w:color w:val="auto"/>
        </w:rPr>
        <w:t xml:space="preserve"> +30bps (Europe +30bps, APS flat)</w:t>
      </w:r>
    </w:p>
    <w:p>
      <w:pPr>
        <w:ind w:left="320" w:hanging="312"/>
        <w:spacing w:after="0"/>
        <w:tabs>
          <w:tab w:leader="none" w:pos="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Transactions slightly behind volume growth: ahead in APS &amp; behind in Europe, principally reflecting growth of large format packs &amp; earlier Easter</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Q1 Reported volume +8.5%; comparable +1.6%</w:t>
      </w:r>
      <w:r>
        <w:rPr>
          <w:rFonts w:ascii="Arial" w:cs="Arial" w:eastAsia="Arial" w:hAnsi="Arial"/>
          <w:sz w:val="21"/>
          <w:szCs w:val="21"/>
          <w:b w:val="1"/>
          <w:bCs w:val="1"/>
          <w:color w:val="auto"/>
          <w:vertAlign w:val="superscript"/>
        </w:rPr>
        <w:t>[4],[6]</w:t>
      </w:r>
    </w:p>
    <w:p>
      <w:pPr>
        <w:ind w:left="320" w:hanging="312"/>
        <w:spacing w:after="0"/>
        <w:tabs>
          <w:tab w:leader="none" w:pos="320" w:val="left"/>
        </w:tabs>
        <w:numPr>
          <w:ilvl w:val="0"/>
          <w:numId w:val="4"/>
        </w:numPr>
        <w:rPr>
          <w:rFonts w:ascii="Arial" w:cs="Arial" w:eastAsia="Arial" w:hAnsi="Arial"/>
          <w:sz w:val="16"/>
          <w:szCs w:val="16"/>
          <w:color w:val="auto"/>
        </w:rPr>
      </w:pPr>
      <w:r>
        <w:rPr>
          <w:rFonts w:ascii="Arial" w:cs="Arial" w:eastAsia="Arial" w:hAnsi="Arial"/>
          <w:sz w:val="16"/>
          <w:szCs w:val="16"/>
          <w:color w:val="auto"/>
        </w:rPr>
        <w:t>Volume by geography</w:t>
      </w:r>
    </w:p>
    <w:p>
      <w:pPr>
        <w:spacing w:after="0" w:line="2" w:lineRule="exact"/>
        <w:rPr>
          <w:rFonts w:ascii="Arial" w:cs="Arial" w:eastAsia="Arial" w:hAnsi="Arial"/>
          <w:sz w:val="16"/>
          <w:szCs w:val="16"/>
          <w:color w:val="auto"/>
        </w:rPr>
      </w:pPr>
    </w:p>
    <w:p>
      <w:pPr>
        <w:ind w:left="640" w:hanging="308"/>
        <w:spacing w:after="0" w:line="187" w:lineRule="auto"/>
        <w:tabs>
          <w:tab w:leader="none" w:pos="640" w:val="left"/>
        </w:tabs>
        <w:numPr>
          <w:ilvl w:val="1"/>
          <w:numId w:val="4"/>
        </w:numPr>
        <w:rPr>
          <w:rFonts w:ascii="Arial" w:cs="Arial" w:eastAsia="Arial" w:hAnsi="Arial"/>
          <w:sz w:val="16"/>
          <w:szCs w:val="16"/>
          <w:color w:val="auto"/>
        </w:rPr>
      </w:pPr>
      <w:r>
        <w:rPr>
          <w:rFonts w:ascii="Arial" w:cs="Arial" w:eastAsia="Arial" w:hAnsi="Arial"/>
          <w:sz w:val="16"/>
          <w:szCs w:val="16"/>
          <w:color w:val="auto"/>
        </w:rPr>
        <w:t>Europe +1.4%</w:t>
      </w:r>
      <w:r>
        <w:rPr>
          <w:rFonts w:ascii="Arial" w:cs="Arial" w:eastAsia="Arial" w:hAnsi="Arial"/>
          <w:sz w:val="21"/>
          <w:szCs w:val="21"/>
          <w:color w:val="auto"/>
          <w:vertAlign w:val="superscript"/>
        </w:rPr>
        <w:t>[4],[6]</w:t>
      </w:r>
      <w:r>
        <w:rPr>
          <w:rFonts w:ascii="Arial" w:cs="Arial" w:eastAsia="Arial" w:hAnsi="Arial"/>
          <w:sz w:val="16"/>
          <w:szCs w:val="16"/>
          <w:color w:val="auto"/>
        </w:rPr>
        <w:t xml:space="preserve"> reflecting great in-market execution, earlier Easter, share gains &amp; growth of large format packs in the Home channel</w:t>
      </w:r>
    </w:p>
    <w:p>
      <w:pPr>
        <w:ind w:left="640" w:hanging="308"/>
        <w:spacing w:after="0" w:line="203" w:lineRule="auto"/>
        <w:tabs>
          <w:tab w:leader="none" w:pos="640" w:val="left"/>
        </w:tabs>
        <w:numPr>
          <w:ilvl w:val="1"/>
          <w:numId w:val="4"/>
        </w:numPr>
        <w:rPr>
          <w:rFonts w:ascii="Arial" w:cs="Arial" w:eastAsia="Arial" w:hAnsi="Arial"/>
          <w:sz w:val="16"/>
          <w:szCs w:val="16"/>
          <w:color w:val="auto"/>
        </w:rPr>
      </w:pPr>
      <w:r>
        <w:rPr>
          <w:rFonts w:ascii="Arial" w:cs="Arial" w:eastAsia="Arial" w:hAnsi="Arial"/>
          <w:sz w:val="16"/>
          <w:szCs w:val="16"/>
          <w:color w:val="auto"/>
        </w:rPr>
        <w:t>APS +1.9%</w:t>
      </w:r>
      <w:r>
        <w:rPr>
          <w:rFonts w:ascii="Arial" w:cs="Arial" w:eastAsia="Arial" w:hAnsi="Arial"/>
          <w:sz w:val="21"/>
          <w:szCs w:val="21"/>
          <w:color w:val="auto"/>
          <w:vertAlign w:val="superscript"/>
        </w:rPr>
        <w:t>[4],[6]</w:t>
      </w:r>
      <w:r>
        <w:rPr>
          <w:rFonts w:ascii="Arial" w:cs="Arial" w:eastAsia="Arial" w:hAnsi="Arial"/>
          <w:sz w:val="16"/>
          <w:szCs w:val="16"/>
          <w:color w:val="auto"/>
        </w:rPr>
        <w:t xml:space="preserve"> reflecting:</w:t>
      </w:r>
    </w:p>
    <w:p>
      <w:pPr>
        <w:ind w:left="1300" w:right="440" w:hanging="324"/>
        <w:spacing w:after="0" w:line="252" w:lineRule="auto"/>
        <w:rPr>
          <w:rFonts w:ascii="Arial" w:cs="Arial" w:eastAsia="Arial" w:hAnsi="Arial"/>
          <w:sz w:val="16"/>
          <w:szCs w:val="16"/>
          <w:color w:val="auto"/>
        </w:rPr>
      </w:pPr>
      <w:r>
        <w:rPr>
          <w:rFonts w:ascii="Arial" w:cs="Arial" w:eastAsia="Arial" w:hAnsi="Arial"/>
          <w:sz w:val="16"/>
          <w:szCs w:val="16"/>
          <w:color w:val="auto"/>
        </w:rPr>
        <w:t>– Australia/Pacific (AP): low single-digit volume increase driven by Pacific Islands &amp; PNG; mid single-digit increase excluding impact of Suntory alcohol exit</w:t>
      </w:r>
    </w:p>
    <w:p>
      <w:pPr>
        <w:spacing w:after="0" w:line="1" w:lineRule="exact"/>
        <w:rPr>
          <w:rFonts w:ascii="Arial" w:cs="Arial" w:eastAsia="Arial" w:hAnsi="Arial"/>
          <w:sz w:val="16"/>
          <w:szCs w:val="16"/>
          <w:color w:val="auto"/>
        </w:rPr>
      </w:pPr>
    </w:p>
    <w:p>
      <w:pPr>
        <w:ind w:left="1300" w:right="340" w:hanging="324"/>
        <w:spacing w:after="0" w:line="249" w:lineRule="auto"/>
        <w:rPr>
          <w:rFonts w:ascii="Arial" w:cs="Arial" w:eastAsia="Arial" w:hAnsi="Arial"/>
          <w:sz w:val="16"/>
          <w:szCs w:val="16"/>
          <w:color w:val="auto"/>
        </w:rPr>
      </w:pPr>
      <w:r>
        <w:rPr>
          <w:rFonts w:ascii="Arial" w:cs="Arial" w:eastAsia="Arial" w:hAnsi="Arial"/>
          <w:sz w:val="16"/>
          <w:szCs w:val="16"/>
          <w:color w:val="auto"/>
        </w:rPr>
        <w:t>– Southeast Asia (SEA): low single-digit volume growth reflecting the return to more normalised growth in the Philippines &amp; encouraging sparkling volumes in Indonesia</w:t>
      </w:r>
    </w:p>
    <w:p>
      <w:pPr>
        <w:ind w:left="320" w:hanging="312"/>
        <w:spacing w:after="0"/>
        <w:tabs>
          <w:tab w:leader="none" w:pos="320" w:val="left"/>
        </w:tabs>
        <w:numPr>
          <w:ilvl w:val="0"/>
          <w:numId w:val="4"/>
        </w:numPr>
        <w:rPr>
          <w:rFonts w:ascii="Arial" w:cs="Arial" w:eastAsia="Arial" w:hAnsi="Arial"/>
          <w:sz w:val="16"/>
          <w:szCs w:val="16"/>
          <w:color w:val="auto"/>
        </w:rPr>
      </w:pPr>
      <w:r>
        <w:rPr>
          <w:rFonts w:ascii="Arial" w:cs="Arial" w:eastAsia="Arial" w:hAnsi="Arial"/>
          <w:sz w:val="16"/>
          <w:szCs w:val="16"/>
          <w:color w:val="auto"/>
        </w:rPr>
        <w:t>Volume by channel:</w:t>
      </w:r>
    </w:p>
    <w:p>
      <w:pPr>
        <w:spacing w:after="0" w:line="14" w:lineRule="exact"/>
        <w:rPr>
          <w:rFonts w:ascii="Arial" w:cs="Arial" w:eastAsia="Arial" w:hAnsi="Arial"/>
          <w:sz w:val="16"/>
          <w:szCs w:val="16"/>
          <w:color w:val="auto"/>
        </w:rPr>
      </w:pPr>
    </w:p>
    <w:p>
      <w:pPr>
        <w:ind w:left="640" w:hanging="308"/>
        <w:spacing w:after="0" w:line="191" w:lineRule="auto"/>
        <w:tabs>
          <w:tab w:leader="none" w:pos="640" w:val="left"/>
        </w:tabs>
        <w:numPr>
          <w:ilvl w:val="1"/>
          <w:numId w:val="4"/>
        </w:numPr>
        <w:rPr>
          <w:rFonts w:ascii="Arial" w:cs="Arial" w:eastAsia="Arial" w:hAnsi="Arial"/>
          <w:sz w:val="16"/>
          <w:szCs w:val="16"/>
          <w:color w:val="auto"/>
        </w:rPr>
      </w:pPr>
      <w:r>
        <w:rPr>
          <w:rFonts w:ascii="Arial" w:cs="Arial" w:eastAsia="Arial" w:hAnsi="Arial"/>
          <w:sz w:val="16"/>
          <w:szCs w:val="16"/>
          <w:color w:val="auto"/>
        </w:rPr>
        <w:t>AFH +0.7%</w:t>
      </w:r>
      <w:r>
        <w:rPr>
          <w:rFonts w:ascii="Arial" w:cs="Arial" w:eastAsia="Arial" w:hAnsi="Arial"/>
          <w:sz w:val="21"/>
          <w:szCs w:val="21"/>
          <w:color w:val="auto"/>
          <w:vertAlign w:val="superscript"/>
        </w:rPr>
        <w:t>[4],[6]</w:t>
      </w:r>
      <w:r>
        <w:rPr>
          <w:rFonts w:ascii="Arial" w:cs="Arial" w:eastAsia="Arial" w:hAnsi="Arial"/>
          <w:sz w:val="16"/>
          <w:szCs w:val="16"/>
          <w:color w:val="auto"/>
        </w:rPr>
        <w:t>, Home +2.9%</w:t>
      </w:r>
      <w:r>
        <w:rPr>
          <w:rFonts w:ascii="Arial" w:cs="Arial" w:eastAsia="Arial" w:hAnsi="Arial"/>
          <w:sz w:val="21"/>
          <w:szCs w:val="21"/>
          <w:color w:val="auto"/>
          <w:vertAlign w:val="superscript"/>
        </w:rPr>
        <w:t>[4],[6]</w:t>
      </w:r>
    </w:p>
    <w:p>
      <w:pPr>
        <w:ind w:left="980"/>
        <w:spacing w:after="0"/>
        <w:rPr>
          <w:rFonts w:ascii="Arial" w:cs="Arial" w:eastAsia="Arial" w:hAnsi="Arial"/>
          <w:sz w:val="16"/>
          <w:szCs w:val="16"/>
          <w:color w:val="auto"/>
        </w:rPr>
      </w:pPr>
      <w:r>
        <w:rPr>
          <w:rFonts w:ascii="Arial" w:cs="Arial" w:eastAsia="Arial" w:hAnsi="Arial"/>
          <w:sz w:val="16"/>
          <w:szCs w:val="16"/>
          <w:color w:val="auto"/>
        </w:rPr>
        <w:t>–   Europe: AFH -1.2%, Home +3.1% supported by earlier Easter</w:t>
      </w:r>
    </w:p>
    <w:p>
      <w:pPr>
        <w:spacing w:after="0" w:line="14"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6"/>
          <w:szCs w:val="16"/>
          <w:color w:val="auto"/>
        </w:rPr>
        <w:t>–   APS: AFH +2.5%, Home +2.4%</w:t>
      </w:r>
    </w:p>
    <w:p>
      <w:pPr>
        <w:spacing w:after="0" w:line="199" w:lineRule="exact"/>
        <w:rPr>
          <w:rFonts w:ascii="Arial" w:cs="Arial" w:eastAsia="Arial" w:hAnsi="Arial"/>
          <w:sz w:val="16"/>
          <w:szCs w:val="16"/>
          <w:color w:val="auto"/>
        </w:rPr>
      </w:pPr>
    </w:p>
    <w:p>
      <w:pPr>
        <w:ind w:left="320" w:hanging="312"/>
        <w:spacing w:after="0"/>
        <w:tabs>
          <w:tab w:leader="none" w:pos="32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Revenue per unit case +0.8%</w:t>
      </w:r>
      <w:r>
        <w:rPr>
          <w:rFonts w:ascii="Arial" w:cs="Arial" w:eastAsia="Arial" w:hAnsi="Arial"/>
          <w:sz w:val="21"/>
          <w:szCs w:val="21"/>
          <w:color w:val="auto"/>
          <w:vertAlign w:val="superscript"/>
        </w:rPr>
        <w:t>[2],[3]</w:t>
      </w:r>
      <w:r>
        <w:rPr>
          <w:rFonts w:ascii="Arial" w:cs="Arial" w:eastAsia="Arial" w:hAnsi="Arial"/>
          <w:sz w:val="16"/>
          <w:szCs w:val="16"/>
          <w:color w:val="auto"/>
        </w:rPr>
        <w:t xml:space="preserve"> reflecting positive mix, headline pricing, Suntory alcohol exit &amp; French sugar tax</w:t>
      </w:r>
    </w:p>
    <w:p>
      <w:pPr>
        <w:ind w:left="660" w:right="120" w:hanging="328"/>
        <w:spacing w:after="0" w:line="255" w:lineRule="auto"/>
        <w:tabs>
          <w:tab w:leader="none" w:pos="649" w:val="left"/>
        </w:tabs>
        <w:numPr>
          <w:ilvl w:val="1"/>
          <w:numId w:val="4"/>
        </w:numPr>
        <w:rPr>
          <w:rFonts w:ascii="Arial" w:cs="Arial" w:eastAsia="Arial" w:hAnsi="Arial"/>
          <w:sz w:val="16"/>
          <w:szCs w:val="16"/>
          <w:color w:val="auto"/>
        </w:rPr>
      </w:pPr>
      <w:r>
        <w:rPr>
          <w:rFonts w:ascii="Arial" w:cs="Arial" w:eastAsia="Arial" w:hAnsi="Arial"/>
          <w:sz w:val="16"/>
          <w:szCs w:val="16"/>
          <w:color w:val="auto"/>
        </w:rPr>
        <w:t>Europe: +1.3% reflecting solid brand mix, headline price increases in France, Iberia (Q1) &amp; Germany (Q3’25), French sugar tax, offset by negative pack mix impact from growth of large format packs</w:t>
      </w:r>
    </w:p>
    <w:p>
      <w:pPr>
        <w:ind w:left="700" w:hanging="368"/>
        <w:spacing w:after="0"/>
        <w:tabs>
          <w:tab w:leader="none" w:pos="700" w:val="left"/>
        </w:tabs>
        <w:numPr>
          <w:ilvl w:val="1"/>
          <w:numId w:val="4"/>
        </w:numPr>
        <w:rPr>
          <w:rFonts w:ascii="Arial" w:cs="Arial" w:eastAsia="Arial" w:hAnsi="Arial"/>
          <w:sz w:val="16"/>
          <w:szCs w:val="16"/>
          <w:color w:val="auto"/>
        </w:rPr>
      </w:pPr>
      <w:r>
        <w:rPr>
          <w:rFonts w:ascii="Arial" w:cs="Arial" w:eastAsia="Arial" w:hAnsi="Arial"/>
          <w:sz w:val="16"/>
          <w:szCs w:val="16"/>
          <w:color w:val="auto"/>
        </w:rPr>
        <w:t>APS: -0.3% reflecting positive brand &amp; pack mix, headline price increases &amp; promotional optimisation, offset by Suntory alcohol exit (~3% impact)</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 &amp; Other</w:t>
      </w:r>
    </w:p>
    <w:p>
      <w:pPr>
        <w:spacing w:after="0" w:line="8" w:lineRule="exact"/>
        <w:rPr>
          <w:sz w:val="20"/>
          <w:szCs w:val="20"/>
          <w:color w:val="auto"/>
        </w:rPr>
      </w:pPr>
    </w:p>
    <w:p>
      <w:pPr>
        <w:ind w:left="340" w:right="180" w:hanging="332"/>
        <w:spacing w:after="0" w:line="213" w:lineRule="auto"/>
        <w:tabs>
          <w:tab w:leader="none" w:pos="329" w:val="left"/>
        </w:tabs>
        <w:numPr>
          <w:ilvl w:val="0"/>
          <w:numId w:val="5"/>
        </w:numPr>
        <w:rPr>
          <w:rFonts w:ascii="Arial" w:cs="Arial" w:eastAsia="Arial" w:hAnsi="Arial"/>
          <w:sz w:val="16"/>
          <w:szCs w:val="16"/>
          <w:color w:val="auto"/>
        </w:rPr>
      </w:pPr>
      <w:r>
        <w:rPr>
          <w:rFonts w:ascii="Arial" w:cs="Arial" w:eastAsia="Arial" w:hAnsi="Arial"/>
          <w:sz w:val="16"/>
          <w:szCs w:val="16"/>
          <w:color w:val="auto"/>
        </w:rPr>
        <w:t>First half interim dividend per share of €0.82 (declared in Q1 &amp; payable on 27 May 2026), calculated as ~40% of the FY25 dividend. Reaffirming FY26 guidance for an annualised total dividend payout ratio of approximately 50%</w:t>
      </w:r>
      <w:r>
        <w:rPr>
          <w:rFonts w:ascii="Arial" w:cs="Arial" w:eastAsia="Arial" w:hAnsi="Arial"/>
          <w:sz w:val="21"/>
          <w:szCs w:val="21"/>
          <w:color w:val="auto"/>
          <w:vertAlign w:val="superscript"/>
        </w:rPr>
        <w:t>[7]</w:t>
      </w:r>
    </w:p>
    <w:p>
      <w:pPr>
        <w:ind w:left="320" w:hanging="312"/>
        <w:spacing w:after="0"/>
        <w:tabs>
          <w:tab w:leader="none" w:pos="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Sustainability highlights:</w:t>
      </w:r>
    </w:p>
    <w:p>
      <w:pPr>
        <w:spacing w:after="0" w:line="5" w:lineRule="exact"/>
        <w:rPr>
          <w:rFonts w:ascii="Arial" w:cs="Arial" w:eastAsia="Arial" w:hAnsi="Arial"/>
          <w:sz w:val="16"/>
          <w:szCs w:val="16"/>
          <w:color w:val="auto"/>
        </w:rPr>
      </w:pPr>
    </w:p>
    <w:p>
      <w:pPr>
        <w:ind w:left="340" w:right="800"/>
        <w:spacing w:after="0" w:line="237" w:lineRule="auto"/>
        <w:rPr>
          <w:rFonts w:ascii="Arial" w:cs="Arial" w:eastAsia="Arial" w:hAnsi="Arial"/>
          <w:sz w:val="16"/>
          <w:szCs w:val="16"/>
          <w:color w:val="auto"/>
        </w:rPr>
      </w:pPr>
      <w:r>
        <w:rPr>
          <w:rFonts w:ascii="Arial" w:cs="Arial" w:eastAsia="Arial" w:hAnsi="Arial"/>
          <w:sz w:val="16"/>
          <w:szCs w:val="16"/>
          <w:color w:val="auto"/>
        </w:rPr>
        <w:t>Published updated sustainability action plan, "This is Forward", to include the Philippines (webinar scheduled for 30 April (contact IR team for registration details))</w:t>
      </w:r>
    </w:p>
    <w:p>
      <w:pPr>
        <w:spacing w:after="0" w:line="1" w:lineRule="exact"/>
        <w:rPr>
          <w:rFonts w:ascii="Arial" w:cs="Arial" w:eastAsia="Arial" w:hAnsi="Arial"/>
          <w:sz w:val="16"/>
          <w:szCs w:val="16"/>
          <w:color w:val="auto"/>
        </w:rPr>
      </w:pPr>
    </w:p>
    <w:p>
      <w:pPr>
        <w:ind w:left="660" w:right="680" w:hanging="328"/>
        <w:spacing w:after="0" w:line="252" w:lineRule="auto"/>
        <w:tabs>
          <w:tab w:leader="none" w:pos="649" w:val="left"/>
        </w:tabs>
        <w:numPr>
          <w:ilvl w:val="1"/>
          <w:numId w:val="5"/>
        </w:numPr>
        <w:rPr>
          <w:rFonts w:ascii="Arial" w:cs="Arial" w:eastAsia="Arial" w:hAnsi="Arial"/>
          <w:sz w:val="16"/>
          <w:szCs w:val="16"/>
          <w:color w:val="auto"/>
        </w:rPr>
      </w:pPr>
      <w:r>
        <w:rPr>
          <w:rFonts w:ascii="Arial" w:cs="Arial" w:eastAsia="Arial" w:hAnsi="Arial"/>
          <w:sz w:val="16"/>
          <w:szCs w:val="16"/>
          <w:color w:val="auto"/>
        </w:rPr>
        <w:t>For details &amp; FY25 sustainability progress data, see our latest Annual Report: https://www.cocacolaep.com/investors/financial-reports-and-results/latest-annual-report/</w:t>
      </w:r>
    </w:p>
    <w:p>
      <w:pPr>
        <w:spacing w:after="0" w:line="1" w:lineRule="exact"/>
        <w:rPr>
          <w:rFonts w:ascii="Arial" w:cs="Arial" w:eastAsia="Arial" w:hAnsi="Arial"/>
          <w:sz w:val="16"/>
          <w:szCs w:val="16"/>
          <w:color w:val="auto"/>
        </w:rPr>
      </w:pPr>
    </w:p>
    <w:p>
      <w:pPr>
        <w:ind w:left="660" w:right="720" w:hanging="328"/>
        <w:spacing w:after="0" w:line="270" w:lineRule="auto"/>
        <w:tabs>
          <w:tab w:leader="none" w:pos="649" w:val="left"/>
        </w:tabs>
        <w:numPr>
          <w:ilvl w:val="1"/>
          <w:numId w:val="5"/>
        </w:numPr>
        <w:rPr>
          <w:rFonts w:ascii="Arial" w:cs="Arial" w:eastAsia="Arial" w:hAnsi="Arial"/>
          <w:sz w:val="16"/>
          <w:szCs w:val="16"/>
          <w:color w:val="auto"/>
        </w:rPr>
      </w:pPr>
      <w:r>
        <w:rPr>
          <w:rFonts w:ascii="Arial" w:cs="Arial" w:eastAsia="Arial" w:hAnsi="Arial"/>
          <w:sz w:val="16"/>
          <w:szCs w:val="16"/>
          <w:color w:val="auto"/>
        </w:rPr>
        <w:t>Updated short &amp; long-term GHG emissions targets validated by SBTi. These now include emissions from the Philippines &amp; Forest, Land &amp; Agriculture (FLAG) targets</w:t>
      </w:r>
    </w:p>
    <w:p>
      <w:pPr>
        <w:sectPr>
          <w:pgSz w:w="11900" w:h="16838" w:orient="portrait"/>
          <w:cols w:equalWidth="0" w:num="1">
            <w:col w:w="11220"/>
          </w:cols>
          <w:pgMar w:left="320" w:top="657" w:right="359" w:bottom="11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2"/>
          <w:szCs w:val="12"/>
          <w:color w:val="auto"/>
        </w:rPr>
        <w:t>Volume % refers to comparable movements unless otherwise stated</w:t>
      </w:r>
    </w:p>
    <w:p>
      <w:pPr>
        <w:sectPr>
          <w:pgSz w:w="11900" w:h="16838" w:orient="portrait"/>
          <w:cols w:equalWidth="0" w:num="1">
            <w:col w:w="11220"/>
          </w:cols>
          <w:pgMar w:left="320" w:top="657" w:right="359" w:bottom="1110" w:gutter="0" w:footer="0" w:header="0"/>
          <w:type w:val="continuous"/>
        </w:sectPr>
      </w:pPr>
    </w:p>
    <w:bookmarkStart w:id="3" w:name="page4"/>
    <w:bookmarkEnd w:id="3"/>
    <w:p>
      <w:pPr>
        <w:ind w:left="10640"/>
        <w:spacing w:after="0"/>
        <w:rPr>
          <w:sz w:val="20"/>
          <w:szCs w:val="20"/>
          <w:color w:val="auto"/>
        </w:rPr>
      </w:pPr>
      <w:r>
        <w:rPr>
          <w:rFonts w:ascii="Arial" w:cs="Arial" w:eastAsia="Arial" w:hAnsi="Arial"/>
          <w:sz w:val="14"/>
          <w:szCs w:val="14"/>
          <w:color w:val="F40009"/>
        </w:rPr>
        <w:drawing>
          <wp:anchor simplePos="0" relativeHeight="251657728" behindDoc="1" locked="0" layoutInCell="0" allowOverlap="1">
            <wp:simplePos x="0" y="0"/>
            <wp:positionH relativeFrom="page">
              <wp:posOffset>216535</wp:posOffset>
            </wp:positionH>
            <wp:positionV relativeFrom="page">
              <wp:posOffset>166370</wp:posOffset>
            </wp:positionV>
            <wp:extent cx="1663065" cy="3175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663065" cy="317500"/>
                    </a:xfrm>
                    <a:prstGeom prst="rect">
                      <a:avLst/>
                    </a:prstGeom>
                    <a:noFill/>
                  </pic:spPr>
                </pic:pic>
              </a:graphicData>
            </a:graphic>
          </wp:anchor>
        </w:drawing>
        <w:t xml:space="preserve">P a g e | </w:t>
      </w:r>
      <w:r>
        <w:rPr>
          <w:rFonts w:ascii="Arial" w:cs="Arial" w:eastAsia="Arial" w:hAnsi="Arial"/>
          <w:sz w:val="14"/>
          <w:szCs w:val="14"/>
          <w:b w:val="1"/>
          <w:bCs w:val="1"/>
          <w:color w:val="000000"/>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23495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Q1 Revenue Performance by Geography</w:t>
      </w:r>
      <w:r>
        <w:rPr>
          <w:rFonts w:ascii="Arial" w:cs="Arial" w:eastAsia="Arial" w:hAnsi="Arial"/>
          <w:sz w:val="21"/>
          <w:szCs w:val="21"/>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-146050</wp:posOffset>
            </wp:positionV>
            <wp:extent cx="688340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83400" cy="137160"/>
                    </a:xfrm>
                    <a:prstGeom prst="rect">
                      <a:avLst/>
                    </a:prstGeom>
                    <a:noFill/>
                  </pic:spPr>
                </pic:pic>
              </a:graphicData>
            </a:graphic>
          </wp:anchor>
        </w:drawing>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7260" w:type="dxa"/>
            <w:vAlign w:val="bottom"/>
            <w:gridSpan w:val="2"/>
          </w:tcPr>
          <w:p>
            <w:pPr>
              <w:spacing w:after="0"/>
              <w:rPr>
                <w:sz w:val="20"/>
                <w:szCs w:val="20"/>
                <w:color w:val="auto"/>
              </w:rPr>
            </w:pPr>
            <w:r>
              <w:rPr>
                <w:rFonts w:ascii="Arial" w:cs="Arial" w:eastAsia="Arial" w:hAnsi="Arial"/>
                <w:sz w:val="13"/>
                <w:szCs w:val="13"/>
                <w:i w:val="1"/>
                <w:iCs w:val="1"/>
                <w:color w:val="auto"/>
                <w:w w:val="99"/>
              </w:rPr>
              <w:t>alues are unaudited &amp; are on a comparable basis. All changes are versus prior year equivalent period unless stated otherwise.</w:t>
            </w:r>
          </w:p>
        </w:tc>
        <w:tc>
          <w:tcPr>
            <w:tcW w:w="1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29"/>
        </w:trPr>
        <w:tc>
          <w:tcPr>
            <w:tcW w:w="80" w:type="dxa"/>
            <w:vAlign w:val="bottom"/>
          </w:tcPr>
          <w:p>
            <w:pPr>
              <w:spacing w:after="0"/>
              <w:rPr>
                <w:sz w:val="19"/>
                <w:szCs w:val="19"/>
                <w:color w:val="auto"/>
              </w:rPr>
            </w:pPr>
          </w:p>
        </w:tc>
        <w:tc>
          <w:tcPr>
            <w:tcW w:w="7180" w:type="dxa"/>
            <w:vAlign w:val="bottom"/>
          </w:tcPr>
          <w:p>
            <w:pPr>
              <w:spacing w:after="0"/>
              <w:rPr>
                <w:sz w:val="19"/>
                <w:szCs w:val="19"/>
                <w:color w:val="auto"/>
              </w:rPr>
            </w:pPr>
          </w:p>
        </w:tc>
        <w:tc>
          <w:tcPr>
            <w:tcW w:w="1260" w:type="dxa"/>
            <w:vAlign w:val="bottom"/>
            <w:tcBorders>
              <w:bottom w:val="single" w:sz="8" w:color="CECECE"/>
            </w:tcBorders>
          </w:tcPr>
          <w:p>
            <w:pPr>
              <w:spacing w:after="0"/>
              <w:rPr>
                <w:sz w:val="19"/>
                <w:szCs w:val="19"/>
                <w:color w:val="auto"/>
              </w:rPr>
            </w:pPr>
          </w:p>
        </w:tc>
        <w:tc>
          <w:tcPr>
            <w:tcW w:w="1360" w:type="dxa"/>
            <w:vAlign w:val="bottom"/>
            <w:tcBorders>
              <w:bottom w:val="single" w:sz="8" w:color="CECECE"/>
            </w:tcBorders>
          </w:tcPr>
          <w:p>
            <w:pPr>
              <w:jc w:val="right"/>
              <w:ind w:right="448"/>
              <w:spacing w:after="0"/>
              <w:rPr>
                <w:sz w:val="20"/>
                <w:szCs w:val="20"/>
                <w:color w:val="auto"/>
              </w:rPr>
            </w:pPr>
            <w:r>
              <w:rPr>
                <w:rFonts w:ascii="Arial" w:cs="Arial" w:eastAsia="Arial" w:hAnsi="Arial"/>
                <w:sz w:val="14"/>
                <w:szCs w:val="14"/>
                <w:b w:val="1"/>
                <w:bCs w:val="1"/>
                <w:color w:val="auto"/>
              </w:rPr>
              <w:t>Q1</w:t>
            </w:r>
          </w:p>
        </w:tc>
        <w:tc>
          <w:tcPr>
            <w:tcW w:w="1360" w:type="dxa"/>
            <w:vAlign w:val="bottom"/>
            <w:tcBorders>
              <w:bottom w:val="single" w:sz="8" w:color="CECECE"/>
            </w:tcBorders>
          </w:tcPr>
          <w:p>
            <w:pPr>
              <w:spacing w:after="0"/>
              <w:rPr>
                <w:sz w:val="19"/>
                <w:szCs w:val="19"/>
                <w:color w:val="auto"/>
              </w:rPr>
            </w:pPr>
          </w:p>
        </w:tc>
      </w:tr>
      <w:tr>
        <w:trPr>
          <w:trHeight w:val="195"/>
        </w:trPr>
        <w:tc>
          <w:tcPr>
            <w:tcW w:w="80" w:type="dxa"/>
            <w:vAlign w:val="bottom"/>
          </w:tcPr>
          <w:p>
            <w:pPr>
              <w:spacing w:after="0"/>
              <w:rPr>
                <w:sz w:val="16"/>
                <w:szCs w:val="16"/>
                <w:color w:val="auto"/>
              </w:rPr>
            </w:pPr>
          </w:p>
        </w:tc>
        <w:tc>
          <w:tcPr>
            <w:tcW w:w="7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60" w:type="dxa"/>
            <w:vAlign w:val="bottom"/>
          </w:tcPr>
          <w:p>
            <w:pPr>
              <w:jc w:val="right"/>
              <w:ind w:right="268"/>
              <w:spacing w:after="0"/>
              <w:rPr>
                <w:sz w:val="20"/>
                <w:szCs w:val="20"/>
                <w:color w:val="auto"/>
              </w:rPr>
            </w:pPr>
            <w:r>
              <w:rPr>
                <w:rFonts w:ascii="Arial" w:cs="Arial" w:eastAsia="Arial" w:hAnsi="Arial"/>
                <w:sz w:val="14"/>
                <w:szCs w:val="14"/>
                <w:b w:val="1"/>
                <w:bCs w:val="1"/>
                <w:color w:val="auto"/>
              </w:rPr>
              <w:t>Fx-neutral</w:t>
            </w:r>
          </w:p>
        </w:tc>
      </w:tr>
      <w:tr>
        <w:trPr>
          <w:trHeight w:val="204"/>
        </w:trPr>
        <w:tc>
          <w:tcPr>
            <w:tcW w:w="80" w:type="dxa"/>
            <w:vAlign w:val="bottom"/>
          </w:tcPr>
          <w:p>
            <w:pPr>
              <w:spacing w:after="0"/>
              <w:rPr>
                <w:sz w:val="17"/>
                <w:szCs w:val="17"/>
                <w:color w:val="auto"/>
              </w:rPr>
            </w:pPr>
          </w:p>
        </w:tc>
        <w:tc>
          <w:tcPr>
            <w:tcW w:w="7180" w:type="dxa"/>
            <w:vAlign w:val="bottom"/>
            <w:tcBorders>
              <w:bottom w:val="single" w:sz="8" w:color="F40009"/>
            </w:tcBorders>
          </w:tcPr>
          <w:p>
            <w:pPr>
              <w:spacing w:after="0"/>
              <w:rPr>
                <w:sz w:val="17"/>
                <w:szCs w:val="17"/>
                <w:color w:val="auto"/>
              </w:rPr>
            </w:pPr>
          </w:p>
        </w:tc>
        <w:tc>
          <w:tcPr>
            <w:tcW w:w="1260" w:type="dxa"/>
            <w:vAlign w:val="bottom"/>
            <w:tcBorders>
              <w:bottom w:val="single" w:sz="8" w:color="F40009"/>
            </w:tcBorders>
          </w:tcPr>
          <w:p>
            <w:pPr>
              <w:jc w:val="right"/>
              <w:ind w:right="268"/>
              <w:spacing w:after="0"/>
              <w:rPr>
                <w:sz w:val="20"/>
                <w:szCs w:val="20"/>
                <w:color w:val="auto"/>
              </w:rPr>
            </w:pPr>
            <w:r>
              <w:rPr>
                <w:rFonts w:ascii="Arial" w:cs="Arial" w:eastAsia="Arial" w:hAnsi="Arial"/>
                <w:sz w:val="14"/>
                <w:szCs w:val="14"/>
                <w:b w:val="1"/>
                <w:bCs w:val="1"/>
                <w:color w:val="auto"/>
              </w:rPr>
              <w:t>€ million</w:t>
            </w:r>
          </w:p>
        </w:tc>
        <w:tc>
          <w:tcPr>
            <w:tcW w:w="1360" w:type="dxa"/>
            <w:vAlign w:val="bottom"/>
            <w:tcBorders>
              <w:bottom w:val="single" w:sz="8" w:color="F40009"/>
            </w:tcBorders>
          </w:tcPr>
          <w:p>
            <w:pPr>
              <w:jc w:val="right"/>
              <w:ind w:right="288"/>
              <w:spacing w:after="0"/>
              <w:rPr>
                <w:sz w:val="20"/>
                <w:szCs w:val="20"/>
                <w:color w:val="auto"/>
              </w:rPr>
            </w:pPr>
            <w:r>
              <w:rPr>
                <w:rFonts w:ascii="Arial" w:cs="Arial" w:eastAsia="Arial" w:hAnsi="Arial"/>
                <w:sz w:val="14"/>
                <w:szCs w:val="14"/>
                <w:b w:val="1"/>
                <w:bCs w:val="1"/>
                <w:color w:val="auto"/>
              </w:rPr>
              <w:t>% change</w:t>
            </w:r>
          </w:p>
        </w:tc>
        <w:tc>
          <w:tcPr>
            <w:tcW w:w="1360" w:type="dxa"/>
            <w:vAlign w:val="bottom"/>
            <w:tcBorders>
              <w:bottom w:val="single" w:sz="8" w:color="F40009"/>
            </w:tcBorders>
          </w:tcPr>
          <w:p>
            <w:pPr>
              <w:jc w:val="right"/>
              <w:ind w:right="268"/>
              <w:spacing w:after="0"/>
              <w:rPr>
                <w:sz w:val="20"/>
                <w:szCs w:val="20"/>
                <w:color w:val="auto"/>
              </w:rPr>
            </w:pPr>
            <w:r>
              <w:rPr>
                <w:rFonts w:ascii="Arial" w:cs="Arial" w:eastAsia="Arial" w:hAnsi="Arial"/>
                <w:sz w:val="14"/>
                <w:szCs w:val="14"/>
                <w:b w:val="1"/>
                <w:bCs w:val="1"/>
                <w:color w:val="auto"/>
              </w:rPr>
              <w:t>% change</w:t>
            </w:r>
          </w:p>
        </w:tc>
      </w:tr>
      <w:tr>
        <w:trPr>
          <w:trHeight w:val="237"/>
        </w:trPr>
        <w:tc>
          <w:tcPr>
            <w:tcW w:w="80" w:type="dxa"/>
            <w:vAlign w:val="bottom"/>
          </w:tcPr>
          <w:p>
            <w:pPr>
              <w:spacing w:after="0"/>
              <w:rPr>
                <w:sz w:val="20"/>
                <w:szCs w:val="20"/>
                <w:color w:val="auto"/>
              </w:rPr>
            </w:pPr>
          </w:p>
        </w:tc>
        <w:tc>
          <w:tcPr>
            <w:tcW w:w="7180" w:type="dxa"/>
            <w:vAlign w:val="bottom"/>
            <w:tcBorders>
              <w:bottom w:val="single" w:sz="8" w:color="ACACAC"/>
            </w:tcBorders>
          </w:tcPr>
          <w:p>
            <w:pPr>
              <w:ind w:left="20"/>
              <w:spacing w:after="0"/>
              <w:rPr>
                <w:sz w:val="20"/>
                <w:szCs w:val="20"/>
                <w:color w:val="auto"/>
              </w:rPr>
            </w:pPr>
            <w:r>
              <w:rPr>
                <w:rFonts w:ascii="Arial" w:cs="Arial" w:eastAsia="Arial" w:hAnsi="Arial"/>
                <w:sz w:val="14"/>
                <w:szCs w:val="14"/>
                <w:color w:val="auto"/>
              </w:rPr>
              <w:t>FBN</w:t>
            </w:r>
            <w:r>
              <w:rPr>
                <w:rFonts w:ascii="Arial" w:cs="Arial" w:eastAsia="Arial" w:hAnsi="Arial"/>
                <w:sz w:val="18"/>
                <w:szCs w:val="18"/>
                <w:color w:val="auto"/>
                <w:vertAlign w:val="superscript"/>
              </w:rPr>
              <w:t>[8]</w:t>
            </w:r>
          </w:p>
        </w:tc>
        <w:tc>
          <w:tcPr>
            <w:tcW w:w="1260" w:type="dxa"/>
            <w:vAlign w:val="bottom"/>
            <w:tcBorders>
              <w:bottom w:val="single" w:sz="8" w:color="ACACAC"/>
            </w:tcBorders>
          </w:tcPr>
          <w:p>
            <w:pPr>
              <w:jc w:val="right"/>
              <w:ind w:right="8"/>
              <w:spacing w:after="0"/>
              <w:rPr>
                <w:sz w:val="20"/>
                <w:szCs w:val="20"/>
                <w:color w:val="auto"/>
              </w:rPr>
            </w:pPr>
            <w:r>
              <w:rPr>
                <w:rFonts w:ascii="Arial" w:cs="Arial" w:eastAsia="Arial" w:hAnsi="Arial"/>
                <w:sz w:val="14"/>
                <w:szCs w:val="14"/>
                <w:color w:val="auto"/>
              </w:rPr>
              <w:t>1,286</w:t>
            </w:r>
          </w:p>
        </w:tc>
        <w:tc>
          <w:tcPr>
            <w:tcW w:w="136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10.3 %</w:t>
            </w:r>
          </w:p>
        </w:tc>
        <w:tc>
          <w:tcPr>
            <w:tcW w:w="136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9.6 %</w:t>
            </w:r>
          </w:p>
        </w:tc>
      </w:tr>
      <w:tr>
        <w:trPr>
          <w:trHeight w:val="192"/>
        </w:trPr>
        <w:tc>
          <w:tcPr>
            <w:tcW w:w="80" w:type="dxa"/>
            <w:vAlign w:val="bottom"/>
          </w:tcPr>
          <w:p>
            <w:pPr>
              <w:spacing w:after="0"/>
              <w:rPr>
                <w:sz w:val="16"/>
                <w:szCs w:val="16"/>
                <w:color w:val="auto"/>
              </w:rPr>
            </w:pPr>
          </w:p>
        </w:tc>
        <w:tc>
          <w:tcPr>
            <w:tcW w:w="7180" w:type="dxa"/>
            <w:vAlign w:val="bottom"/>
            <w:tcBorders>
              <w:bottom w:val="single" w:sz="8" w:color="B6B6B6"/>
            </w:tcBorders>
          </w:tcPr>
          <w:p>
            <w:pPr>
              <w:ind w:left="20"/>
              <w:spacing w:after="0"/>
              <w:rPr>
                <w:sz w:val="20"/>
                <w:szCs w:val="20"/>
                <w:color w:val="auto"/>
              </w:rPr>
            </w:pPr>
            <w:r>
              <w:rPr>
                <w:rFonts w:ascii="Arial" w:cs="Arial" w:eastAsia="Arial" w:hAnsi="Arial"/>
                <w:sz w:val="14"/>
                <w:szCs w:val="14"/>
                <w:color w:val="auto"/>
              </w:rPr>
              <w:t>Germany</w:t>
            </w:r>
          </w:p>
        </w:tc>
        <w:tc>
          <w:tcPr>
            <w:tcW w:w="126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757</w:t>
            </w:r>
          </w:p>
        </w:tc>
        <w:tc>
          <w:tcPr>
            <w:tcW w:w="136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10.3 %</w:t>
            </w:r>
          </w:p>
        </w:tc>
        <w:tc>
          <w:tcPr>
            <w:tcW w:w="136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10.3 %</w:t>
            </w:r>
          </w:p>
        </w:tc>
      </w:tr>
      <w:tr>
        <w:trPr>
          <w:trHeight w:val="196"/>
        </w:trPr>
        <w:tc>
          <w:tcPr>
            <w:tcW w:w="80" w:type="dxa"/>
            <w:vAlign w:val="bottom"/>
          </w:tcPr>
          <w:p>
            <w:pPr>
              <w:spacing w:after="0"/>
              <w:rPr>
                <w:sz w:val="17"/>
                <w:szCs w:val="17"/>
                <w:color w:val="auto"/>
              </w:rPr>
            </w:pPr>
          </w:p>
        </w:tc>
        <w:tc>
          <w:tcPr>
            <w:tcW w:w="7180" w:type="dxa"/>
            <w:vAlign w:val="bottom"/>
            <w:tcBorders>
              <w:bottom w:val="single" w:sz="8" w:color="B6B6B6"/>
            </w:tcBorders>
          </w:tcPr>
          <w:p>
            <w:pPr>
              <w:ind w:left="20"/>
              <w:spacing w:after="0"/>
              <w:rPr>
                <w:sz w:val="20"/>
                <w:szCs w:val="20"/>
                <w:color w:val="auto"/>
              </w:rPr>
            </w:pPr>
            <w:r>
              <w:rPr>
                <w:rFonts w:ascii="Arial" w:cs="Arial" w:eastAsia="Arial" w:hAnsi="Arial"/>
                <w:sz w:val="14"/>
                <w:szCs w:val="14"/>
                <w:color w:val="auto"/>
              </w:rPr>
              <w:t>Great Britain</w:t>
            </w:r>
          </w:p>
        </w:tc>
        <w:tc>
          <w:tcPr>
            <w:tcW w:w="126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822</w:t>
            </w:r>
          </w:p>
        </w:tc>
        <w:tc>
          <w:tcPr>
            <w:tcW w:w="136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8.3 %</w:t>
            </w:r>
          </w:p>
        </w:tc>
        <w:tc>
          <w:tcPr>
            <w:tcW w:w="136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12.5 %</w:t>
            </w:r>
          </w:p>
        </w:tc>
      </w:tr>
      <w:tr>
        <w:trPr>
          <w:trHeight w:val="241"/>
        </w:trPr>
        <w:tc>
          <w:tcPr>
            <w:tcW w:w="80" w:type="dxa"/>
            <w:vAlign w:val="bottom"/>
          </w:tcPr>
          <w:p>
            <w:pPr>
              <w:spacing w:after="0"/>
              <w:rPr>
                <w:sz w:val="20"/>
                <w:szCs w:val="20"/>
                <w:color w:val="auto"/>
              </w:rPr>
            </w:pPr>
          </w:p>
        </w:tc>
        <w:tc>
          <w:tcPr>
            <w:tcW w:w="7180" w:type="dxa"/>
            <w:vAlign w:val="bottom"/>
            <w:tcBorders>
              <w:bottom w:val="single" w:sz="8" w:color="B6B6B6"/>
            </w:tcBorders>
          </w:tcPr>
          <w:p>
            <w:pPr>
              <w:ind w:left="20"/>
              <w:spacing w:after="0"/>
              <w:rPr>
                <w:sz w:val="20"/>
                <w:szCs w:val="20"/>
                <w:color w:val="auto"/>
              </w:rPr>
            </w:pPr>
            <w:r>
              <w:rPr>
                <w:rFonts w:ascii="Arial" w:cs="Arial" w:eastAsia="Arial" w:hAnsi="Arial"/>
                <w:sz w:val="14"/>
                <w:szCs w:val="14"/>
                <w:color w:val="auto"/>
              </w:rPr>
              <w:t>Iberia</w:t>
            </w:r>
            <w:r>
              <w:rPr>
                <w:rFonts w:ascii="Arial" w:cs="Arial" w:eastAsia="Arial" w:hAnsi="Arial"/>
                <w:sz w:val="18"/>
                <w:szCs w:val="18"/>
                <w:color w:val="auto"/>
                <w:vertAlign w:val="superscript"/>
              </w:rPr>
              <w:t>[9]</w:t>
            </w:r>
          </w:p>
        </w:tc>
        <w:tc>
          <w:tcPr>
            <w:tcW w:w="126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684</w:t>
            </w:r>
          </w:p>
        </w:tc>
        <w:tc>
          <w:tcPr>
            <w:tcW w:w="136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6.5 %</w:t>
            </w:r>
          </w:p>
        </w:tc>
        <w:tc>
          <w:tcPr>
            <w:tcW w:w="136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6.5 %</w:t>
            </w:r>
          </w:p>
        </w:tc>
      </w:tr>
      <w:tr>
        <w:trPr>
          <w:trHeight w:val="195"/>
        </w:trPr>
        <w:tc>
          <w:tcPr>
            <w:tcW w:w="80" w:type="dxa"/>
            <w:vAlign w:val="bottom"/>
          </w:tcPr>
          <w:p>
            <w:pPr>
              <w:spacing w:after="0"/>
              <w:rPr>
                <w:sz w:val="16"/>
                <w:szCs w:val="16"/>
                <w:color w:val="auto"/>
              </w:rPr>
            </w:pPr>
          </w:p>
        </w:tc>
        <w:tc>
          <w:tcPr>
            <w:tcW w:w="7180" w:type="dxa"/>
            <w:vAlign w:val="bottom"/>
            <w:tcBorders>
              <w:bottom w:val="single" w:sz="8" w:color="ACACAC"/>
            </w:tcBorders>
            <w:shd w:val="clear" w:color="auto" w:fill="E0E0E0"/>
          </w:tcPr>
          <w:p>
            <w:pPr>
              <w:ind w:left="20"/>
              <w:spacing w:after="0"/>
              <w:rPr>
                <w:sz w:val="20"/>
                <w:szCs w:val="20"/>
                <w:color w:val="auto"/>
              </w:rPr>
            </w:pPr>
            <w:r>
              <w:rPr>
                <w:rFonts w:ascii="Arial" w:cs="Arial" w:eastAsia="Arial" w:hAnsi="Arial"/>
                <w:sz w:val="14"/>
                <w:szCs w:val="14"/>
                <w:b w:val="1"/>
                <w:bCs w:val="1"/>
                <w:color w:val="auto"/>
              </w:rPr>
              <w:t>Total Europe</w:t>
            </w:r>
          </w:p>
        </w:tc>
        <w:tc>
          <w:tcPr>
            <w:tcW w:w="1260" w:type="dxa"/>
            <w:vAlign w:val="bottom"/>
            <w:tcBorders>
              <w:bottom w:val="single" w:sz="8" w:color="ACACAC"/>
            </w:tcBorders>
            <w:shd w:val="clear" w:color="auto" w:fill="E0E0E0"/>
          </w:tcPr>
          <w:p>
            <w:pPr>
              <w:jc w:val="right"/>
              <w:ind w:right="8"/>
              <w:spacing w:after="0"/>
              <w:rPr>
                <w:sz w:val="20"/>
                <w:szCs w:val="20"/>
                <w:color w:val="auto"/>
              </w:rPr>
            </w:pPr>
            <w:r>
              <w:rPr>
                <w:rFonts w:ascii="Arial" w:cs="Arial" w:eastAsia="Arial" w:hAnsi="Arial"/>
                <w:sz w:val="14"/>
                <w:szCs w:val="14"/>
                <w:b w:val="1"/>
                <w:bCs w:val="1"/>
                <w:color w:val="auto"/>
              </w:rPr>
              <w:t>3,549</w:t>
            </w:r>
          </w:p>
        </w:tc>
        <w:tc>
          <w:tcPr>
            <w:tcW w:w="1360" w:type="dxa"/>
            <w:vAlign w:val="bottom"/>
            <w:tcBorders>
              <w:bottom w:val="single" w:sz="8" w:color="ACACAC"/>
            </w:tcBorders>
            <w:shd w:val="clear" w:color="auto" w:fill="E0E0E0"/>
          </w:tcPr>
          <w:p>
            <w:pPr>
              <w:jc w:val="right"/>
              <w:spacing w:after="0"/>
              <w:rPr>
                <w:sz w:val="20"/>
                <w:szCs w:val="20"/>
                <w:color w:val="auto"/>
              </w:rPr>
            </w:pPr>
            <w:r>
              <w:rPr>
                <w:rFonts w:ascii="Arial" w:cs="Arial" w:eastAsia="Arial" w:hAnsi="Arial"/>
                <w:sz w:val="14"/>
                <w:szCs w:val="14"/>
                <w:b w:val="1"/>
                <w:bCs w:val="1"/>
                <w:color w:val="auto"/>
              </w:rPr>
              <w:t>9.1 %</w:t>
            </w:r>
          </w:p>
        </w:tc>
        <w:tc>
          <w:tcPr>
            <w:tcW w:w="1360" w:type="dxa"/>
            <w:vAlign w:val="bottom"/>
            <w:tcBorders>
              <w:bottom w:val="single" w:sz="8" w:color="ACACAC"/>
            </w:tcBorders>
            <w:shd w:val="clear" w:color="auto" w:fill="E0E0E0"/>
          </w:tcPr>
          <w:p>
            <w:pPr>
              <w:jc w:val="right"/>
              <w:spacing w:after="0"/>
              <w:rPr>
                <w:sz w:val="20"/>
                <w:szCs w:val="20"/>
                <w:color w:val="auto"/>
              </w:rPr>
            </w:pPr>
            <w:r>
              <w:rPr>
                <w:rFonts w:ascii="Arial" w:cs="Arial" w:eastAsia="Arial" w:hAnsi="Arial"/>
                <w:sz w:val="14"/>
                <w:szCs w:val="14"/>
                <w:b w:val="1"/>
                <w:bCs w:val="1"/>
                <w:color w:val="auto"/>
              </w:rPr>
              <w:t>9.8 %</w:t>
            </w:r>
          </w:p>
        </w:tc>
      </w:tr>
      <w:tr>
        <w:trPr>
          <w:trHeight w:val="197"/>
        </w:trPr>
        <w:tc>
          <w:tcPr>
            <w:tcW w:w="80" w:type="dxa"/>
            <w:vAlign w:val="bottom"/>
          </w:tcPr>
          <w:p>
            <w:pPr>
              <w:spacing w:after="0"/>
              <w:rPr>
                <w:sz w:val="17"/>
                <w:szCs w:val="17"/>
                <w:color w:val="auto"/>
              </w:rPr>
            </w:pPr>
          </w:p>
        </w:tc>
        <w:tc>
          <w:tcPr>
            <w:tcW w:w="7180" w:type="dxa"/>
            <w:vAlign w:val="bottom"/>
            <w:tcBorders>
              <w:bottom w:val="single" w:sz="8" w:color="ACACAC"/>
            </w:tcBorders>
          </w:tcPr>
          <w:p>
            <w:pPr>
              <w:ind w:left="20"/>
              <w:spacing w:after="0" w:line="197" w:lineRule="exact"/>
              <w:rPr>
                <w:sz w:val="20"/>
                <w:szCs w:val="20"/>
                <w:color w:val="auto"/>
              </w:rPr>
            </w:pPr>
            <w:r>
              <w:rPr>
                <w:rFonts w:ascii="Arial" w:cs="Arial" w:eastAsia="Arial" w:hAnsi="Arial"/>
                <w:sz w:val="14"/>
                <w:szCs w:val="14"/>
                <w:color w:val="auto"/>
              </w:rPr>
              <w:t>Australia / Pacific</w:t>
            </w:r>
            <w:r>
              <w:rPr>
                <w:rFonts w:ascii="Arial" w:cs="Arial" w:eastAsia="Arial" w:hAnsi="Arial"/>
                <w:sz w:val="18"/>
                <w:szCs w:val="18"/>
                <w:color w:val="auto"/>
                <w:vertAlign w:val="superscript"/>
              </w:rPr>
              <w:t>[11]</w:t>
            </w:r>
          </w:p>
        </w:tc>
        <w:tc>
          <w:tcPr>
            <w:tcW w:w="1260" w:type="dxa"/>
            <w:vAlign w:val="bottom"/>
            <w:tcBorders>
              <w:bottom w:val="single" w:sz="8" w:color="ACACAC"/>
            </w:tcBorders>
          </w:tcPr>
          <w:p>
            <w:pPr>
              <w:jc w:val="right"/>
              <w:ind w:right="8"/>
              <w:spacing w:after="0"/>
              <w:rPr>
                <w:sz w:val="20"/>
                <w:szCs w:val="20"/>
                <w:color w:val="auto"/>
              </w:rPr>
            </w:pPr>
            <w:r>
              <w:rPr>
                <w:rFonts w:ascii="Arial" w:cs="Arial" w:eastAsia="Arial" w:hAnsi="Arial"/>
                <w:sz w:val="14"/>
                <w:szCs w:val="14"/>
                <w:color w:val="auto"/>
              </w:rPr>
              <w:t>877</w:t>
            </w:r>
          </w:p>
        </w:tc>
        <w:tc>
          <w:tcPr>
            <w:tcW w:w="136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4.3 %</w:t>
            </w:r>
          </w:p>
        </w:tc>
        <w:tc>
          <w:tcPr>
            <w:tcW w:w="136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7.5 %</w:t>
            </w:r>
          </w:p>
        </w:tc>
      </w:tr>
      <w:tr>
        <w:trPr>
          <w:trHeight w:val="196"/>
        </w:trPr>
        <w:tc>
          <w:tcPr>
            <w:tcW w:w="80" w:type="dxa"/>
            <w:vAlign w:val="bottom"/>
          </w:tcPr>
          <w:p>
            <w:pPr>
              <w:spacing w:after="0"/>
              <w:rPr>
                <w:sz w:val="17"/>
                <w:szCs w:val="17"/>
                <w:color w:val="auto"/>
              </w:rPr>
            </w:pPr>
          </w:p>
        </w:tc>
        <w:tc>
          <w:tcPr>
            <w:tcW w:w="7180" w:type="dxa"/>
            <w:vAlign w:val="bottom"/>
            <w:tcBorders>
              <w:bottom w:val="single" w:sz="8" w:color="B6B6B6"/>
            </w:tcBorders>
          </w:tcPr>
          <w:p>
            <w:pPr>
              <w:ind w:left="20"/>
              <w:spacing w:after="0" w:line="196" w:lineRule="exact"/>
              <w:rPr>
                <w:sz w:val="20"/>
                <w:szCs w:val="20"/>
                <w:color w:val="auto"/>
              </w:rPr>
            </w:pPr>
            <w:r>
              <w:rPr>
                <w:rFonts w:ascii="Arial" w:cs="Arial" w:eastAsia="Arial" w:hAnsi="Arial"/>
                <w:sz w:val="14"/>
                <w:szCs w:val="14"/>
                <w:color w:val="auto"/>
              </w:rPr>
              <w:t>Southeast Asia</w:t>
            </w:r>
            <w:r>
              <w:rPr>
                <w:rFonts w:ascii="Arial" w:cs="Arial" w:eastAsia="Arial" w:hAnsi="Arial"/>
                <w:sz w:val="18"/>
                <w:szCs w:val="18"/>
                <w:color w:val="auto"/>
                <w:vertAlign w:val="superscript"/>
              </w:rPr>
              <w:t>[12]</w:t>
            </w:r>
          </w:p>
        </w:tc>
        <w:tc>
          <w:tcPr>
            <w:tcW w:w="126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575</w:t>
            </w:r>
          </w:p>
        </w:tc>
        <w:tc>
          <w:tcPr>
            <w:tcW w:w="136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(3.4)%</w:t>
            </w:r>
          </w:p>
        </w:tc>
        <w:tc>
          <w:tcPr>
            <w:tcW w:w="136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10.1 %</w:t>
            </w:r>
          </w:p>
        </w:tc>
      </w:tr>
      <w:tr>
        <w:trPr>
          <w:trHeight w:val="195"/>
        </w:trPr>
        <w:tc>
          <w:tcPr>
            <w:tcW w:w="80" w:type="dxa"/>
            <w:vAlign w:val="bottom"/>
          </w:tcPr>
          <w:p>
            <w:pPr>
              <w:spacing w:after="0"/>
              <w:rPr>
                <w:sz w:val="16"/>
                <w:szCs w:val="16"/>
                <w:color w:val="auto"/>
              </w:rPr>
            </w:pPr>
          </w:p>
        </w:tc>
        <w:tc>
          <w:tcPr>
            <w:tcW w:w="7180" w:type="dxa"/>
            <w:vAlign w:val="bottom"/>
            <w:tcBorders>
              <w:bottom w:val="single" w:sz="8" w:color="ACACAC"/>
            </w:tcBorders>
            <w:shd w:val="clear" w:color="auto" w:fill="E0E0E0"/>
          </w:tcPr>
          <w:p>
            <w:pPr>
              <w:ind w:left="20"/>
              <w:spacing w:after="0"/>
              <w:rPr>
                <w:sz w:val="20"/>
                <w:szCs w:val="20"/>
                <w:color w:val="auto"/>
              </w:rPr>
            </w:pPr>
            <w:r>
              <w:rPr>
                <w:rFonts w:ascii="Arial" w:cs="Arial" w:eastAsia="Arial" w:hAnsi="Arial"/>
                <w:sz w:val="14"/>
                <w:szCs w:val="14"/>
                <w:b w:val="1"/>
                <w:bCs w:val="1"/>
                <w:color w:val="auto"/>
              </w:rPr>
              <w:t>Total APS</w:t>
            </w:r>
          </w:p>
        </w:tc>
        <w:tc>
          <w:tcPr>
            <w:tcW w:w="1260" w:type="dxa"/>
            <w:vAlign w:val="bottom"/>
            <w:tcBorders>
              <w:bottom w:val="single" w:sz="8" w:color="ACACAC"/>
            </w:tcBorders>
            <w:shd w:val="clear" w:color="auto" w:fill="E0E0E0"/>
          </w:tcPr>
          <w:p>
            <w:pPr>
              <w:jc w:val="right"/>
              <w:ind w:right="8"/>
              <w:spacing w:after="0"/>
              <w:rPr>
                <w:sz w:val="20"/>
                <w:szCs w:val="20"/>
                <w:color w:val="auto"/>
              </w:rPr>
            </w:pPr>
            <w:r>
              <w:rPr>
                <w:rFonts w:ascii="Arial" w:cs="Arial" w:eastAsia="Arial" w:hAnsi="Arial"/>
                <w:sz w:val="14"/>
                <w:szCs w:val="14"/>
                <w:b w:val="1"/>
                <w:bCs w:val="1"/>
                <w:color w:val="auto"/>
              </w:rPr>
              <w:t>1,452</w:t>
            </w:r>
          </w:p>
        </w:tc>
        <w:tc>
          <w:tcPr>
            <w:tcW w:w="1360" w:type="dxa"/>
            <w:vAlign w:val="bottom"/>
            <w:tcBorders>
              <w:bottom w:val="single" w:sz="8" w:color="ACACAC"/>
            </w:tcBorders>
            <w:shd w:val="clear" w:color="auto" w:fill="E0E0E0"/>
          </w:tcPr>
          <w:p>
            <w:pPr>
              <w:jc w:val="right"/>
              <w:spacing w:after="0"/>
              <w:rPr>
                <w:sz w:val="20"/>
                <w:szCs w:val="20"/>
                <w:color w:val="auto"/>
              </w:rPr>
            </w:pPr>
            <w:r>
              <w:rPr>
                <w:rFonts w:ascii="Arial" w:cs="Arial" w:eastAsia="Arial" w:hAnsi="Arial"/>
                <w:sz w:val="14"/>
                <w:szCs w:val="14"/>
                <w:b w:val="1"/>
                <w:bCs w:val="1"/>
                <w:color w:val="auto"/>
              </w:rPr>
              <w:t>1.1 %</w:t>
            </w:r>
          </w:p>
        </w:tc>
        <w:tc>
          <w:tcPr>
            <w:tcW w:w="1360" w:type="dxa"/>
            <w:vAlign w:val="bottom"/>
            <w:tcBorders>
              <w:bottom w:val="single" w:sz="8" w:color="ACACAC"/>
            </w:tcBorders>
            <w:shd w:val="clear" w:color="auto" w:fill="E0E0E0"/>
          </w:tcPr>
          <w:p>
            <w:pPr>
              <w:jc w:val="right"/>
              <w:spacing w:after="0"/>
              <w:rPr>
                <w:sz w:val="20"/>
                <w:szCs w:val="20"/>
                <w:color w:val="auto"/>
              </w:rPr>
            </w:pPr>
            <w:r>
              <w:rPr>
                <w:rFonts w:ascii="Arial" w:cs="Arial" w:eastAsia="Arial" w:hAnsi="Arial"/>
                <w:sz w:val="14"/>
                <w:szCs w:val="14"/>
                <w:b w:val="1"/>
                <w:bCs w:val="1"/>
                <w:color w:val="auto"/>
              </w:rPr>
              <w:t>8.6 %</w:t>
            </w:r>
          </w:p>
        </w:tc>
      </w:tr>
      <w:tr>
        <w:trPr>
          <w:trHeight w:val="76"/>
        </w:trPr>
        <w:tc>
          <w:tcPr>
            <w:tcW w:w="80" w:type="dxa"/>
            <w:vAlign w:val="bottom"/>
          </w:tcPr>
          <w:p>
            <w:pPr>
              <w:spacing w:after="0"/>
              <w:rPr>
                <w:sz w:val="6"/>
                <w:szCs w:val="6"/>
                <w:color w:val="auto"/>
              </w:rPr>
            </w:pPr>
          </w:p>
        </w:tc>
        <w:tc>
          <w:tcPr>
            <w:tcW w:w="7180" w:type="dxa"/>
            <w:vAlign w:val="bottom"/>
            <w:tcBorders>
              <w:bottom w:val="single" w:sz="8" w:color="B6B6B6"/>
            </w:tcBorders>
          </w:tcPr>
          <w:p>
            <w:pPr>
              <w:spacing w:after="0"/>
              <w:rPr>
                <w:sz w:val="6"/>
                <w:szCs w:val="6"/>
                <w:color w:val="auto"/>
              </w:rPr>
            </w:pPr>
          </w:p>
        </w:tc>
        <w:tc>
          <w:tcPr>
            <w:tcW w:w="1260" w:type="dxa"/>
            <w:vAlign w:val="bottom"/>
            <w:tcBorders>
              <w:bottom w:val="single" w:sz="8" w:color="B6B6B6"/>
            </w:tcBorders>
          </w:tcPr>
          <w:p>
            <w:pPr>
              <w:spacing w:after="0"/>
              <w:rPr>
                <w:sz w:val="6"/>
                <w:szCs w:val="6"/>
                <w:color w:val="auto"/>
              </w:rPr>
            </w:pPr>
          </w:p>
        </w:tc>
        <w:tc>
          <w:tcPr>
            <w:tcW w:w="1360" w:type="dxa"/>
            <w:vAlign w:val="bottom"/>
            <w:tcBorders>
              <w:bottom w:val="single" w:sz="8" w:color="ACACAC"/>
            </w:tcBorders>
          </w:tcPr>
          <w:p>
            <w:pPr>
              <w:spacing w:after="0"/>
              <w:rPr>
                <w:sz w:val="6"/>
                <w:szCs w:val="6"/>
                <w:color w:val="auto"/>
              </w:rPr>
            </w:pPr>
          </w:p>
        </w:tc>
        <w:tc>
          <w:tcPr>
            <w:tcW w:w="1360" w:type="dxa"/>
            <w:vAlign w:val="bottom"/>
            <w:tcBorders>
              <w:bottom w:val="single" w:sz="8" w:color="B6B6B6"/>
            </w:tcBorders>
          </w:tcPr>
          <w:p>
            <w:pPr>
              <w:spacing w:after="0"/>
              <w:rPr>
                <w:sz w:val="6"/>
                <w:szCs w:val="6"/>
                <w:color w:val="auto"/>
              </w:rPr>
            </w:pPr>
          </w:p>
        </w:tc>
      </w:tr>
      <w:tr>
        <w:trPr>
          <w:trHeight w:val="195"/>
        </w:trPr>
        <w:tc>
          <w:tcPr>
            <w:tcW w:w="80" w:type="dxa"/>
            <w:vAlign w:val="bottom"/>
          </w:tcPr>
          <w:p>
            <w:pPr>
              <w:spacing w:after="0"/>
              <w:rPr>
                <w:sz w:val="16"/>
                <w:szCs w:val="16"/>
                <w:color w:val="auto"/>
              </w:rPr>
            </w:pPr>
          </w:p>
        </w:tc>
        <w:tc>
          <w:tcPr>
            <w:tcW w:w="7180" w:type="dxa"/>
            <w:vAlign w:val="bottom"/>
            <w:tcBorders>
              <w:bottom w:val="single" w:sz="8" w:color="ACACAC"/>
            </w:tcBorders>
            <w:shd w:val="clear" w:color="auto" w:fill="E0E0E0"/>
          </w:tcPr>
          <w:p>
            <w:pPr>
              <w:ind w:left="20"/>
              <w:spacing w:after="0"/>
              <w:rPr>
                <w:sz w:val="20"/>
                <w:szCs w:val="20"/>
                <w:color w:val="auto"/>
              </w:rPr>
            </w:pPr>
            <w:r>
              <w:rPr>
                <w:rFonts w:ascii="Arial" w:cs="Arial" w:eastAsia="Arial" w:hAnsi="Arial"/>
                <w:sz w:val="14"/>
                <w:szCs w:val="14"/>
                <w:b w:val="1"/>
                <w:bCs w:val="1"/>
                <w:color w:val="auto"/>
              </w:rPr>
              <w:t>Total CCEP</w:t>
            </w:r>
          </w:p>
        </w:tc>
        <w:tc>
          <w:tcPr>
            <w:tcW w:w="1260" w:type="dxa"/>
            <w:vAlign w:val="bottom"/>
            <w:tcBorders>
              <w:bottom w:val="single" w:sz="8" w:color="ACACAC"/>
            </w:tcBorders>
            <w:shd w:val="clear" w:color="auto" w:fill="E0E0E0"/>
          </w:tcPr>
          <w:p>
            <w:pPr>
              <w:jc w:val="right"/>
              <w:ind w:right="8"/>
              <w:spacing w:after="0"/>
              <w:rPr>
                <w:sz w:val="20"/>
                <w:szCs w:val="20"/>
                <w:color w:val="auto"/>
              </w:rPr>
            </w:pPr>
            <w:r>
              <w:rPr>
                <w:rFonts w:ascii="Arial" w:cs="Arial" w:eastAsia="Arial" w:hAnsi="Arial"/>
                <w:sz w:val="14"/>
                <w:szCs w:val="14"/>
                <w:b w:val="1"/>
                <w:bCs w:val="1"/>
                <w:color w:val="auto"/>
              </w:rPr>
              <w:t>5,001</w:t>
            </w:r>
          </w:p>
        </w:tc>
        <w:tc>
          <w:tcPr>
            <w:tcW w:w="1360" w:type="dxa"/>
            <w:vAlign w:val="bottom"/>
            <w:tcBorders>
              <w:bottom w:val="single" w:sz="8" w:color="ACACAC"/>
            </w:tcBorders>
            <w:shd w:val="clear" w:color="auto" w:fill="E0E0E0"/>
          </w:tcPr>
          <w:p>
            <w:pPr>
              <w:jc w:val="right"/>
              <w:spacing w:after="0"/>
              <w:rPr>
                <w:sz w:val="20"/>
                <w:szCs w:val="20"/>
                <w:color w:val="auto"/>
              </w:rPr>
            </w:pPr>
            <w:r>
              <w:rPr>
                <w:rFonts w:ascii="Arial" w:cs="Arial" w:eastAsia="Arial" w:hAnsi="Arial"/>
                <w:sz w:val="14"/>
                <w:szCs w:val="14"/>
                <w:b w:val="1"/>
                <w:bCs w:val="1"/>
                <w:color w:val="auto"/>
              </w:rPr>
              <w:t>6.7 %</w:t>
            </w:r>
          </w:p>
        </w:tc>
        <w:tc>
          <w:tcPr>
            <w:tcW w:w="1360" w:type="dxa"/>
            <w:vAlign w:val="bottom"/>
            <w:tcBorders>
              <w:bottom w:val="single" w:sz="8" w:color="ACACAC"/>
            </w:tcBorders>
            <w:shd w:val="clear" w:color="auto" w:fill="E0E0E0"/>
          </w:tcPr>
          <w:p>
            <w:pPr>
              <w:jc w:val="right"/>
              <w:spacing w:after="0"/>
              <w:rPr>
                <w:sz w:val="20"/>
                <w:szCs w:val="20"/>
                <w:color w:val="auto"/>
              </w:rPr>
            </w:pPr>
            <w:r>
              <w:rPr>
                <w:rFonts w:ascii="Arial" w:cs="Arial" w:eastAsia="Arial" w:hAnsi="Arial"/>
                <w:sz w:val="14"/>
                <w:szCs w:val="14"/>
                <w:b w:val="1"/>
                <w:bCs w:val="1"/>
                <w:color w:val="auto"/>
              </w:rPr>
              <w:t>9.4 %</w:t>
            </w:r>
          </w:p>
        </w:tc>
      </w:tr>
    </w:tbl>
    <w:p>
      <w:pPr>
        <w:spacing w:after="0" w:line="90" w:lineRule="exact"/>
        <w:rPr>
          <w:sz w:val="20"/>
          <w:szCs w:val="20"/>
          <w:color w:val="auto"/>
        </w:rPr>
      </w:pPr>
    </w:p>
    <w:p>
      <w:pPr>
        <w:ind w:left="80"/>
        <w:spacing w:after="0"/>
        <w:rPr>
          <w:sz w:val="20"/>
          <w:szCs w:val="20"/>
          <w:color w:val="auto"/>
        </w:rPr>
      </w:pPr>
      <w:r>
        <w:rPr>
          <w:rFonts w:ascii="Arial" w:cs="Arial" w:eastAsia="Arial" w:hAnsi="Arial"/>
          <w:sz w:val="32"/>
          <w:szCs w:val="32"/>
          <w:b w:val="1"/>
          <w:bCs w:val="1"/>
          <w:color w:val="auto"/>
          <w:vertAlign w:val="subscript"/>
        </w:rPr>
        <w:t>FBN</w:t>
      </w:r>
      <w:r>
        <w:rPr>
          <w:rFonts w:ascii="Arial" w:cs="Arial" w:eastAsia="Arial" w:hAnsi="Arial"/>
          <w:sz w:val="11"/>
          <w:szCs w:val="11"/>
          <w:b w:val="1"/>
          <w:bCs w:val="1"/>
          <w:color w:val="auto"/>
        </w:rPr>
        <w:t>[8]</w:t>
      </w:r>
    </w:p>
    <w:p>
      <w:pPr>
        <w:spacing w:after="0" w:line="70" w:lineRule="exact"/>
        <w:rPr>
          <w:sz w:val="20"/>
          <w:szCs w:val="20"/>
          <w:color w:val="auto"/>
        </w:rPr>
      </w:pPr>
    </w:p>
    <w:p>
      <w:pPr>
        <w:ind w:left="400" w:hanging="312"/>
        <w:spacing w:after="0"/>
        <w:tabs>
          <w:tab w:leader="none" w:pos="400"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Low single-digit volume decline with growth in the Netherlands &amp; Sweden offset by France.</w:t>
      </w:r>
    </w:p>
    <w:p>
      <w:pPr>
        <w:spacing w:after="0" w:line="5" w:lineRule="exact"/>
        <w:rPr>
          <w:rFonts w:ascii="Arial" w:cs="Arial" w:eastAsia="Arial" w:hAnsi="Arial"/>
          <w:sz w:val="16"/>
          <w:szCs w:val="16"/>
          <w:b w:val="1"/>
          <w:bCs w:val="1"/>
          <w:color w:val="auto"/>
        </w:rPr>
      </w:pPr>
    </w:p>
    <w:p>
      <w:pPr>
        <w:ind w:left="400" w:hanging="312"/>
        <w:spacing w:after="0"/>
        <w:tabs>
          <w:tab w:leader="none" w:pos="40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Continued double-digit growth in Monster across the region supported by innovation &amp; distribution gains.</w:t>
      </w:r>
    </w:p>
    <w:p>
      <w:pPr>
        <w:spacing w:after="0" w:line="14" w:lineRule="exact"/>
        <w:rPr>
          <w:rFonts w:ascii="Arial" w:cs="Arial" w:eastAsia="Arial" w:hAnsi="Arial"/>
          <w:sz w:val="16"/>
          <w:szCs w:val="16"/>
          <w:color w:val="auto"/>
        </w:rPr>
      </w:pPr>
    </w:p>
    <w:p>
      <w:pPr>
        <w:ind w:left="420" w:right="180" w:hanging="332"/>
        <w:spacing w:after="0" w:line="249" w:lineRule="auto"/>
        <w:tabs>
          <w:tab w:leader="none" w:pos="409" w:val="left"/>
        </w:tabs>
        <w:numPr>
          <w:ilvl w:val="0"/>
          <w:numId w:val="6"/>
        </w:numPr>
        <w:rPr>
          <w:rFonts w:ascii="Arial" w:cs="Arial" w:eastAsia="Arial" w:hAnsi="Arial"/>
          <w:sz w:val="16"/>
          <w:szCs w:val="16"/>
          <w:color w:val="auto"/>
        </w:rPr>
      </w:pPr>
      <w:r>
        <w:rPr>
          <w:rFonts w:ascii="Arial" w:cs="Arial" w:eastAsia="Arial" w:hAnsi="Arial"/>
          <w:sz w:val="16"/>
          <w:szCs w:val="16"/>
          <w:color w:val="auto"/>
        </w:rPr>
        <w:t>Low single-digit decline in Coca-Cola TM with strong growth of Zero Sugar more than offset by decline of Original Taste in France, following increased sugar tax in March ‘25.</w:t>
      </w:r>
    </w:p>
    <w:p>
      <w:pPr>
        <w:ind w:left="400" w:hanging="312"/>
        <w:spacing w:after="0"/>
        <w:tabs>
          <w:tab w:leader="none" w:pos="400" w:val="left"/>
        </w:tabs>
        <w:numPr>
          <w:ilvl w:val="0"/>
          <w:numId w:val="6"/>
        </w:numPr>
        <w:rPr>
          <w:rFonts w:ascii="Arial" w:cs="Arial" w:eastAsia="Arial" w:hAnsi="Arial"/>
          <w:sz w:val="16"/>
          <w:szCs w:val="16"/>
          <w:color w:val="auto"/>
        </w:rPr>
      </w:pPr>
      <w:r>
        <w:rPr>
          <w:rFonts w:ascii="Arial" w:cs="Arial" w:eastAsia="Arial" w:hAnsi="Arial"/>
          <w:sz w:val="16"/>
          <w:szCs w:val="16"/>
          <w:color w:val="auto"/>
        </w:rPr>
        <w:t>Growth in revenue/UC</w:t>
      </w:r>
      <w:r>
        <w:rPr>
          <w:rFonts w:ascii="Arial" w:cs="Arial" w:eastAsia="Arial" w:hAnsi="Arial"/>
          <w:sz w:val="21"/>
          <w:szCs w:val="21"/>
          <w:color w:val="auto"/>
          <w:vertAlign w:val="superscript"/>
        </w:rPr>
        <w:t>[10]</w:t>
      </w:r>
      <w:r>
        <w:rPr>
          <w:rFonts w:ascii="Arial" w:cs="Arial" w:eastAsia="Arial" w:hAnsi="Arial"/>
          <w:sz w:val="16"/>
          <w:szCs w:val="16"/>
          <w:color w:val="auto"/>
        </w:rPr>
        <w:t xml:space="preserve"> reflects price increases, French sugar tax &amp; positive mix effect from growth of Monster &amp; small format packs.</w:t>
      </w:r>
    </w:p>
    <w:p>
      <w:pPr>
        <w:spacing w:after="0" w:line="188"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Germany</w:t>
      </w:r>
    </w:p>
    <w:p>
      <w:pPr>
        <w:spacing w:after="0" w:line="8" w:lineRule="exact"/>
        <w:rPr>
          <w:sz w:val="20"/>
          <w:szCs w:val="20"/>
          <w:color w:val="auto"/>
        </w:rPr>
      </w:pPr>
    </w:p>
    <w:p>
      <w:pPr>
        <w:ind w:left="400" w:hanging="312"/>
        <w:spacing w:after="0"/>
        <w:tabs>
          <w:tab w:leader="none" w:pos="400" w:val="left"/>
        </w:tabs>
        <w:numPr>
          <w:ilvl w:val="0"/>
          <w:numId w:val="7"/>
        </w:numPr>
        <w:rPr>
          <w:rFonts w:ascii="Arial" w:cs="Arial" w:eastAsia="Arial" w:hAnsi="Arial"/>
          <w:sz w:val="16"/>
          <w:szCs w:val="16"/>
          <w:color w:val="auto"/>
        </w:rPr>
      </w:pPr>
      <w:r>
        <w:rPr>
          <w:rFonts w:ascii="Arial" w:cs="Arial" w:eastAsia="Arial" w:hAnsi="Arial"/>
          <w:sz w:val="16"/>
          <w:szCs w:val="16"/>
          <w:color w:val="auto"/>
        </w:rPr>
        <w:t>Low single-digit volume growth supported by double-digit growth of Coca-Cola Zero Sugar &amp; strong double-digit growth in Monster.</w:t>
      </w:r>
    </w:p>
    <w:p>
      <w:pPr>
        <w:spacing w:after="0" w:line="14" w:lineRule="exact"/>
        <w:rPr>
          <w:rFonts w:ascii="Arial" w:cs="Arial" w:eastAsia="Arial" w:hAnsi="Arial"/>
          <w:sz w:val="16"/>
          <w:szCs w:val="16"/>
          <w:color w:val="auto"/>
        </w:rPr>
      </w:pPr>
    </w:p>
    <w:p>
      <w:pPr>
        <w:ind w:left="400" w:hanging="312"/>
        <w:spacing w:after="0" w:line="191" w:lineRule="auto"/>
        <w:tabs>
          <w:tab w:leader="none" w:pos="400" w:val="left"/>
        </w:tabs>
        <w:numPr>
          <w:ilvl w:val="0"/>
          <w:numId w:val="7"/>
        </w:numPr>
        <w:rPr>
          <w:rFonts w:ascii="Arial" w:cs="Arial" w:eastAsia="Arial" w:hAnsi="Arial"/>
          <w:sz w:val="16"/>
          <w:szCs w:val="16"/>
          <w:color w:val="auto"/>
        </w:rPr>
      </w:pPr>
      <w:r>
        <w:rPr>
          <w:rFonts w:ascii="Arial" w:cs="Arial" w:eastAsia="Arial" w:hAnsi="Arial"/>
          <w:sz w:val="16"/>
          <w:szCs w:val="16"/>
          <w:color w:val="auto"/>
        </w:rPr>
        <w:t>Low single-digit growth in revenue/UC</w:t>
      </w:r>
      <w:r>
        <w:rPr>
          <w:rFonts w:ascii="Arial" w:cs="Arial" w:eastAsia="Arial" w:hAnsi="Arial"/>
          <w:sz w:val="21"/>
          <w:szCs w:val="21"/>
          <w:color w:val="auto"/>
          <w:vertAlign w:val="superscript"/>
        </w:rPr>
        <w:t>[10]</w:t>
      </w:r>
      <w:r>
        <w:rPr>
          <w:rFonts w:ascii="Arial" w:cs="Arial" w:eastAsia="Arial" w:hAnsi="Arial"/>
          <w:sz w:val="16"/>
          <w:szCs w:val="16"/>
          <w:color w:val="auto"/>
        </w:rPr>
        <w:t xml:space="preserve"> supported by headline price increase in Q3’25.</w:t>
      </w:r>
    </w:p>
    <w:p>
      <w:pPr>
        <w:ind w:left="400" w:hanging="312"/>
        <w:spacing w:after="0"/>
        <w:tabs>
          <w:tab w:leader="none" w:pos="400" w:val="left"/>
        </w:tabs>
        <w:numPr>
          <w:ilvl w:val="0"/>
          <w:numId w:val="7"/>
        </w:numPr>
        <w:rPr>
          <w:rFonts w:ascii="Arial" w:cs="Arial" w:eastAsia="Arial" w:hAnsi="Arial"/>
          <w:sz w:val="16"/>
          <w:szCs w:val="16"/>
          <w:color w:val="auto"/>
        </w:rPr>
      </w:pPr>
      <w:r>
        <w:rPr>
          <w:rFonts w:ascii="Arial" w:cs="Arial" w:eastAsia="Arial" w:hAnsi="Arial"/>
          <w:sz w:val="16"/>
          <w:szCs w:val="16"/>
          <w:color w:val="auto"/>
        </w:rPr>
        <w:t>Also reflects positive mix effect from growth of Monster offset by growth of large format packs in the Home channel.</w:t>
      </w:r>
    </w:p>
    <w:p>
      <w:pPr>
        <w:spacing w:after="0" w:line="246"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Great Britain</w:t>
      </w:r>
    </w:p>
    <w:p>
      <w:pPr>
        <w:spacing w:after="0" w:line="8" w:lineRule="exact"/>
        <w:rPr>
          <w:sz w:val="20"/>
          <w:szCs w:val="20"/>
          <w:color w:val="auto"/>
        </w:rPr>
      </w:pPr>
    </w:p>
    <w:p>
      <w:pPr>
        <w:ind w:left="420" w:right="480" w:hanging="332"/>
        <w:spacing w:after="0" w:line="252" w:lineRule="auto"/>
        <w:tabs>
          <w:tab w:leader="none" w:pos="409" w:val="left"/>
        </w:tabs>
        <w:numPr>
          <w:ilvl w:val="0"/>
          <w:numId w:val="8"/>
        </w:numPr>
        <w:rPr>
          <w:rFonts w:ascii="Arial" w:cs="Arial" w:eastAsia="Arial" w:hAnsi="Arial"/>
          <w:sz w:val="16"/>
          <w:szCs w:val="16"/>
          <w:color w:val="auto"/>
        </w:rPr>
      </w:pPr>
      <w:r>
        <w:rPr>
          <w:rFonts w:ascii="Arial" w:cs="Arial" w:eastAsia="Arial" w:hAnsi="Arial"/>
          <w:sz w:val="16"/>
          <w:szCs w:val="16"/>
          <w:color w:val="auto"/>
        </w:rPr>
        <w:t>Mid single-digit volume growth driven by Coca-Cola Zero Sugar, Diet Coke &amp; Monster, supported by launch of Coca-Cola Cherry &amp; Cherry Float &amp; Monster Viking Berry. Volumes also benefitted from new Smartwater listings &amp; growth in Powerade.</w:t>
      </w:r>
    </w:p>
    <w:p>
      <w:pPr>
        <w:spacing w:after="0" w:line="1" w:lineRule="exact"/>
        <w:rPr>
          <w:rFonts w:ascii="Arial" w:cs="Arial" w:eastAsia="Arial" w:hAnsi="Arial"/>
          <w:sz w:val="16"/>
          <w:szCs w:val="16"/>
          <w:color w:val="auto"/>
        </w:rPr>
      </w:pPr>
    </w:p>
    <w:p>
      <w:pPr>
        <w:ind w:left="400" w:hanging="312"/>
        <w:spacing w:after="0"/>
        <w:tabs>
          <w:tab w:leader="none" w:pos="40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Revenue/UC</w:t>
      </w:r>
      <w:r>
        <w:rPr>
          <w:rFonts w:ascii="Arial" w:cs="Arial" w:eastAsia="Arial" w:hAnsi="Arial"/>
          <w:sz w:val="21"/>
          <w:szCs w:val="21"/>
          <w:color w:val="auto"/>
          <w:vertAlign w:val="superscript"/>
        </w:rPr>
        <w:t>[10]</w:t>
      </w:r>
      <w:r>
        <w:rPr>
          <w:rFonts w:ascii="Arial" w:cs="Arial" w:eastAsia="Arial" w:hAnsi="Arial"/>
          <w:sz w:val="16"/>
          <w:szCs w:val="16"/>
          <w:color w:val="auto"/>
        </w:rPr>
        <w:t xml:space="preserve"> flat with positive brand mix offset by growth of large format packs in the Home channel.</w:t>
      </w:r>
    </w:p>
    <w:p>
      <w:pPr>
        <w:spacing w:after="0" w:line="142"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Iberia</w:t>
      </w:r>
      <w:r>
        <w:rPr>
          <w:rFonts w:ascii="Arial" w:cs="Arial" w:eastAsia="Arial" w:hAnsi="Arial"/>
          <w:sz w:val="21"/>
          <w:szCs w:val="21"/>
          <w:b w:val="1"/>
          <w:bCs w:val="1"/>
          <w:color w:val="auto"/>
          <w:vertAlign w:val="superscript"/>
        </w:rPr>
        <w:t>[9]</w:t>
      </w:r>
    </w:p>
    <w:p>
      <w:pPr>
        <w:ind w:left="400" w:hanging="312"/>
        <w:spacing w:after="0"/>
        <w:tabs>
          <w:tab w:leader="none" w:pos="400" w:val="left"/>
        </w:tabs>
        <w:numPr>
          <w:ilvl w:val="0"/>
          <w:numId w:val="9"/>
        </w:numPr>
        <w:rPr>
          <w:rFonts w:ascii="Arial" w:cs="Arial" w:eastAsia="Arial" w:hAnsi="Arial"/>
          <w:sz w:val="16"/>
          <w:szCs w:val="16"/>
          <w:color w:val="auto"/>
        </w:rPr>
      </w:pPr>
      <w:r>
        <w:rPr>
          <w:rFonts w:ascii="Arial" w:cs="Arial" w:eastAsia="Arial" w:hAnsi="Arial"/>
          <w:sz w:val="16"/>
          <w:szCs w:val="16"/>
          <w:color w:val="auto"/>
        </w:rPr>
        <w:t>Slight volume decline with Portugal growth offset by Spain (slow start to the quarter which subsequently improved).</w:t>
      </w:r>
    </w:p>
    <w:p>
      <w:pPr>
        <w:spacing w:after="0" w:line="5" w:lineRule="exact"/>
        <w:rPr>
          <w:rFonts w:ascii="Arial" w:cs="Arial" w:eastAsia="Arial" w:hAnsi="Arial"/>
          <w:sz w:val="16"/>
          <w:szCs w:val="16"/>
          <w:color w:val="auto"/>
        </w:rPr>
      </w:pPr>
    </w:p>
    <w:p>
      <w:pPr>
        <w:ind w:left="420" w:right="400" w:hanging="332"/>
        <w:spacing w:after="0" w:line="255" w:lineRule="auto"/>
        <w:tabs>
          <w:tab w:leader="none" w:pos="409" w:val="left"/>
        </w:tabs>
        <w:numPr>
          <w:ilvl w:val="0"/>
          <w:numId w:val="9"/>
        </w:numPr>
        <w:rPr>
          <w:rFonts w:ascii="Arial" w:cs="Arial" w:eastAsia="Arial" w:hAnsi="Arial"/>
          <w:sz w:val="16"/>
          <w:szCs w:val="16"/>
          <w:color w:val="auto"/>
        </w:rPr>
      </w:pPr>
      <w:r>
        <w:rPr>
          <w:rFonts w:ascii="Arial" w:cs="Arial" w:eastAsia="Arial" w:hAnsi="Arial"/>
          <w:sz w:val="16"/>
          <w:szCs w:val="16"/>
          <w:color w:val="auto"/>
        </w:rPr>
        <w:t>Strong Fuze Tea performance post completion of Nestea transition. Good growth in Flavours, driven by great Sprite &amp; Fanta execution &amp; continued strength in Aquarius &amp; Monster.</w:t>
      </w:r>
    </w:p>
    <w:p>
      <w:pPr>
        <w:ind w:left="400" w:hanging="312"/>
        <w:spacing w:after="0"/>
        <w:tabs>
          <w:tab w:leader="none" w:pos="400" w:val="left"/>
        </w:tabs>
        <w:numPr>
          <w:ilvl w:val="0"/>
          <w:numId w:val="9"/>
        </w:numPr>
        <w:rPr>
          <w:rFonts w:ascii="Arial" w:cs="Arial" w:eastAsia="Arial" w:hAnsi="Arial"/>
          <w:sz w:val="16"/>
          <w:szCs w:val="16"/>
          <w:color w:val="auto"/>
        </w:rPr>
      </w:pPr>
      <w:r>
        <w:rPr>
          <w:rFonts w:ascii="Arial" w:cs="Arial" w:eastAsia="Arial" w:hAnsi="Arial"/>
          <w:sz w:val="16"/>
          <w:szCs w:val="16"/>
          <w:color w:val="auto"/>
        </w:rPr>
        <w:t>Growth offset by decline in Coca-Cola Original Taste.</w:t>
      </w:r>
    </w:p>
    <w:p>
      <w:pPr>
        <w:spacing w:after="0" w:line="5" w:lineRule="exact"/>
        <w:rPr>
          <w:rFonts w:ascii="Arial" w:cs="Arial" w:eastAsia="Arial" w:hAnsi="Arial"/>
          <w:sz w:val="16"/>
          <w:szCs w:val="16"/>
          <w:color w:val="auto"/>
        </w:rPr>
      </w:pPr>
    </w:p>
    <w:p>
      <w:pPr>
        <w:ind w:left="400" w:hanging="312"/>
        <w:spacing w:after="0"/>
        <w:tabs>
          <w:tab w:leader="none" w:pos="40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Revenue/UC</w:t>
      </w:r>
      <w:r>
        <w:rPr>
          <w:rFonts w:ascii="Arial" w:cs="Arial" w:eastAsia="Arial" w:hAnsi="Arial"/>
          <w:sz w:val="21"/>
          <w:szCs w:val="21"/>
          <w:color w:val="auto"/>
          <w:vertAlign w:val="superscript"/>
        </w:rPr>
        <w:t>[10]</w:t>
      </w:r>
      <w:r>
        <w:rPr>
          <w:rFonts w:ascii="Arial" w:cs="Arial" w:eastAsia="Arial" w:hAnsi="Arial"/>
          <w:sz w:val="16"/>
          <w:szCs w:val="16"/>
          <w:color w:val="auto"/>
        </w:rPr>
        <w:t xml:space="preserve"> marginally ahead, reflecting headline price increases offset by negative channel &amp; pack mix resulting from growth in QSR.</w:t>
      </w:r>
    </w:p>
    <w:p>
      <w:pPr>
        <w:spacing w:after="0" w:line="138"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Australia / Pacific</w:t>
      </w:r>
      <w:r>
        <w:rPr>
          <w:rFonts w:ascii="Arial" w:cs="Arial" w:eastAsia="Arial" w:hAnsi="Arial"/>
          <w:sz w:val="21"/>
          <w:szCs w:val="21"/>
          <w:b w:val="1"/>
          <w:bCs w:val="1"/>
          <w:color w:val="auto"/>
          <w:vertAlign w:val="superscript"/>
        </w:rPr>
        <w:t>[11]</w:t>
      </w:r>
    </w:p>
    <w:p>
      <w:pPr>
        <w:ind w:left="420" w:right="140" w:hanging="332"/>
        <w:spacing w:after="0" w:line="246" w:lineRule="auto"/>
        <w:tabs>
          <w:tab w:leader="none" w:pos="409" w:val="left"/>
        </w:tabs>
        <w:numPr>
          <w:ilvl w:val="0"/>
          <w:numId w:val="10"/>
        </w:numPr>
        <w:rPr>
          <w:rFonts w:ascii="Arial" w:cs="Arial" w:eastAsia="Arial" w:hAnsi="Arial"/>
          <w:sz w:val="16"/>
          <w:szCs w:val="16"/>
          <w:color w:val="auto"/>
        </w:rPr>
      </w:pPr>
      <w:r>
        <w:rPr>
          <w:rFonts w:ascii="Arial" w:cs="Arial" w:eastAsia="Arial" w:hAnsi="Arial"/>
          <w:sz w:val="16"/>
          <w:szCs w:val="16"/>
          <w:color w:val="auto"/>
        </w:rPr>
        <w:t>Mid single-digit volume increase (excluding alcohol) with growth in all markets; PNG &amp; Pacific Islands growing double-digit. Revenue excluding alcohol +13.2%.</w:t>
      </w:r>
    </w:p>
    <w:p>
      <w:pPr>
        <w:ind w:left="420" w:right="160" w:hanging="332"/>
        <w:spacing w:after="0" w:line="255" w:lineRule="auto"/>
        <w:tabs>
          <w:tab w:leader="none" w:pos="409" w:val="left"/>
        </w:tabs>
        <w:numPr>
          <w:ilvl w:val="0"/>
          <w:numId w:val="10"/>
        </w:numPr>
        <w:rPr>
          <w:rFonts w:ascii="Arial" w:cs="Arial" w:eastAsia="Arial" w:hAnsi="Arial"/>
          <w:sz w:val="16"/>
          <w:szCs w:val="16"/>
          <w:color w:val="auto"/>
        </w:rPr>
      </w:pPr>
      <w:r>
        <w:rPr>
          <w:rFonts w:ascii="Arial" w:cs="Arial" w:eastAsia="Arial" w:hAnsi="Arial"/>
          <w:sz w:val="16"/>
          <w:szCs w:val="16"/>
          <w:color w:val="auto"/>
        </w:rPr>
        <w:t>Strong Coca-Cola Zero Sugar performance driving overall growth in Coca-Cola TM volumes, with Grinder coffee seeing continued double-digit volume increase.</w:t>
      </w:r>
    </w:p>
    <w:p>
      <w:pPr>
        <w:ind w:left="400" w:hanging="312"/>
        <w:spacing w:after="0"/>
        <w:tabs>
          <w:tab w:leader="none" w:pos="4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Energy volumes grew double-digit supported by the launch of Lando Norris during Q1 &amp; new watermelon Mother variant.</w:t>
      </w:r>
    </w:p>
    <w:p>
      <w:pPr>
        <w:spacing w:after="0" w:line="5" w:lineRule="exact"/>
        <w:rPr>
          <w:rFonts w:ascii="Arial" w:cs="Arial" w:eastAsia="Arial" w:hAnsi="Arial"/>
          <w:sz w:val="16"/>
          <w:szCs w:val="16"/>
          <w:color w:val="auto"/>
        </w:rPr>
      </w:pPr>
    </w:p>
    <w:p>
      <w:pPr>
        <w:ind w:left="420" w:right="120" w:hanging="332"/>
        <w:spacing w:after="0" w:line="226" w:lineRule="auto"/>
        <w:tabs>
          <w:tab w:leader="none" w:pos="409"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Revenue/UC</w:t>
      </w:r>
      <w:r>
        <w:rPr>
          <w:rFonts w:ascii="Arial" w:cs="Arial" w:eastAsia="Arial" w:hAnsi="Arial"/>
          <w:sz w:val="21"/>
          <w:szCs w:val="21"/>
          <w:color w:val="auto"/>
          <w:vertAlign w:val="superscript"/>
        </w:rPr>
        <w:t>[10]</w:t>
      </w:r>
      <w:r>
        <w:rPr>
          <w:rFonts w:ascii="Arial" w:cs="Arial" w:eastAsia="Arial" w:hAnsi="Arial"/>
          <w:sz w:val="16"/>
          <w:szCs w:val="16"/>
          <w:color w:val="auto"/>
        </w:rPr>
        <w:t xml:space="preserve"> reflects impact of Suntory exit in Australia &amp; New Zealand. Excluding alcohol, revenue/UC grew mid single-digit, supported by headline price increases &amp; mix benefit from growth of small pack formats &amp; Monster.</w:t>
      </w:r>
    </w:p>
    <w:p>
      <w:pPr>
        <w:spacing w:after="0" w:line="167" w:lineRule="exact"/>
        <w:rPr>
          <w:rFonts w:ascii="Arial" w:cs="Arial" w:eastAsia="Arial" w:hAnsi="Arial"/>
          <w:sz w:val="16"/>
          <w:szCs w:val="16"/>
          <w:color w:val="auto"/>
        </w:rPr>
      </w:pPr>
    </w:p>
    <w:p>
      <w:pPr>
        <w:ind w:left="420"/>
        <w:spacing w:after="0"/>
        <w:rPr>
          <w:rFonts w:ascii="Arial" w:cs="Arial" w:eastAsia="Arial" w:hAnsi="Arial"/>
          <w:sz w:val="16"/>
          <w:szCs w:val="16"/>
          <w:color w:val="auto"/>
        </w:rPr>
      </w:pPr>
      <w:r>
        <w:rPr>
          <w:rFonts w:ascii="Arial" w:cs="Arial" w:eastAsia="Arial" w:hAnsi="Arial"/>
          <w:sz w:val="16"/>
          <w:szCs w:val="16"/>
          <w:b w:val="1"/>
          <w:bCs w:val="1"/>
          <w:color w:val="auto"/>
        </w:rPr>
        <w:t>Southeast Asia</w:t>
      </w:r>
      <w:r>
        <w:rPr>
          <w:rFonts w:ascii="Arial" w:cs="Arial" w:eastAsia="Arial" w:hAnsi="Arial"/>
          <w:sz w:val="21"/>
          <w:szCs w:val="21"/>
          <w:b w:val="1"/>
          <w:bCs w:val="1"/>
          <w:color w:val="auto"/>
          <w:vertAlign w:val="superscript"/>
        </w:rPr>
        <w:t>[12]</w:t>
      </w:r>
    </w:p>
    <w:p>
      <w:pPr>
        <w:ind w:left="420" w:right="120" w:hanging="332"/>
        <w:spacing w:after="0" w:line="244" w:lineRule="auto"/>
        <w:tabs>
          <w:tab w:leader="none" w:pos="409" w:val="left"/>
        </w:tabs>
        <w:numPr>
          <w:ilvl w:val="0"/>
          <w:numId w:val="10"/>
        </w:numPr>
        <w:rPr>
          <w:rFonts w:ascii="Arial" w:cs="Arial" w:eastAsia="Arial" w:hAnsi="Arial"/>
          <w:sz w:val="16"/>
          <w:szCs w:val="16"/>
          <w:color w:val="auto"/>
        </w:rPr>
      </w:pPr>
      <w:r>
        <w:rPr>
          <w:rFonts w:ascii="Arial" w:cs="Arial" w:eastAsia="Arial" w:hAnsi="Arial"/>
          <w:sz w:val="16"/>
          <w:szCs w:val="16"/>
          <w:color w:val="auto"/>
        </w:rPr>
        <w:t>Low single-digit volume increase driven by the Philippines, with continued growth in Coca-Cola Original Taste with strong double-digit increase in Coke Zero Sugar &amp; Wilkins Pure water.</w:t>
      </w:r>
    </w:p>
    <w:p>
      <w:pPr>
        <w:ind w:left="420" w:hanging="332"/>
        <w:spacing w:after="0" w:line="257" w:lineRule="auto"/>
        <w:tabs>
          <w:tab w:leader="none" w:pos="409" w:val="left"/>
        </w:tabs>
        <w:numPr>
          <w:ilvl w:val="0"/>
          <w:numId w:val="10"/>
        </w:numPr>
        <w:rPr>
          <w:rFonts w:ascii="Arial" w:cs="Arial" w:eastAsia="Arial" w:hAnsi="Arial"/>
          <w:sz w:val="16"/>
          <w:szCs w:val="16"/>
          <w:color w:val="auto"/>
        </w:rPr>
      </w:pPr>
      <w:r>
        <w:rPr>
          <w:rFonts w:ascii="Arial" w:cs="Arial" w:eastAsia="Arial" w:hAnsi="Arial"/>
          <w:sz w:val="16"/>
          <w:szCs w:val="16"/>
          <w:color w:val="auto"/>
        </w:rPr>
        <w:t>Sparkling volumes in Indonesia continued to perform better supported by growth in Coke Zero Sugar &amp; Fanta, particularly over the festive Ramadan period. Volumes in Indonesia overall were slightly down driven by juices &amp; black tea (flavoured tea grew double-digit reflecting new blackcurrant variant).</w:t>
      </w:r>
    </w:p>
    <w:p>
      <w:pPr>
        <w:spacing w:after="0" w:line="1" w:lineRule="exact"/>
        <w:rPr>
          <w:rFonts w:ascii="Arial" w:cs="Arial" w:eastAsia="Arial" w:hAnsi="Arial"/>
          <w:sz w:val="16"/>
          <w:szCs w:val="16"/>
          <w:color w:val="auto"/>
        </w:rPr>
      </w:pPr>
    </w:p>
    <w:p>
      <w:pPr>
        <w:ind w:left="420" w:right="120" w:hanging="332"/>
        <w:spacing w:after="0" w:line="218" w:lineRule="auto"/>
        <w:tabs>
          <w:tab w:leader="none" w:pos="409"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Revenue/UC</w:t>
      </w:r>
      <w:r>
        <w:rPr>
          <w:rFonts w:ascii="Arial" w:cs="Arial" w:eastAsia="Arial" w:hAnsi="Arial"/>
          <w:sz w:val="21"/>
          <w:szCs w:val="21"/>
          <w:color w:val="auto"/>
          <w:vertAlign w:val="superscript"/>
        </w:rPr>
        <w:t>[10]</w:t>
      </w:r>
      <w:r>
        <w:rPr>
          <w:rFonts w:ascii="Arial" w:cs="Arial" w:eastAsia="Arial" w:hAnsi="Arial"/>
          <w:sz w:val="16"/>
          <w:szCs w:val="16"/>
          <w:color w:val="auto"/>
        </w:rPr>
        <w:t xml:space="preserve"> growth driven by headline price increases in the Philippines implemented during H2’25, partially offset by adverse product mix from the growth of water.</w:t>
      </w:r>
    </w:p>
    <w:p>
      <w:pPr>
        <w:sectPr>
          <w:pgSz w:w="11900" w:h="16838" w:orient="portrait"/>
          <w:cols w:equalWidth="0" w:num="1">
            <w:col w:w="11300"/>
          </w:cols>
          <w:pgMar w:left="240" w:top="657" w:right="359" w:bottom="1440" w:gutter="0" w:footer="0" w:header="0"/>
        </w:sectPr>
      </w:pPr>
    </w:p>
    <w:bookmarkStart w:id="4" w:name="page5"/>
    <w:bookmarkEnd w:id="4"/>
    <w:p>
      <w:pPr>
        <w:jc w:val="right"/>
        <w:spacing w:after="0"/>
        <w:rPr>
          <w:sz w:val="20"/>
          <w:szCs w:val="20"/>
          <w:color w:val="auto"/>
        </w:rPr>
      </w:pPr>
      <w:r>
        <w:rPr>
          <w:rFonts w:ascii="Arial" w:cs="Arial" w:eastAsia="Arial" w:hAnsi="Arial"/>
          <w:sz w:val="14"/>
          <w:szCs w:val="14"/>
          <w:color w:val="F40009"/>
        </w:rPr>
        <w:drawing>
          <wp:anchor simplePos="0" relativeHeight="251657728" behindDoc="1" locked="0" layoutInCell="0" allowOverlap="1">
            <wp:simplePos x="0" y="0"/>
            <wp:positionH relativeFrom="page">
              <wp:posOffset>216535</wp:posOffset>
            </wp:positionH>
            <wp:positionV relativeFrom="page">
              <wp:posOffset>166370</wp:posOffset>
            </wp:positionV>
            <wp:extent cx="1663065" cy="3175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663065" cy="317500"/>
                    </a:xfrm>
                    <a:prstGeom prst="rect">
                      <a:avLst/>
                    </a:prstGeom>
                    <a:noFill/>
                  </pic:spPr>
                </pic:pic>
              </a:graphicData>
            </a:graphic>
          </wp:anchor>
        </w:drawing>
        <w:t xml:space="preserve">P a g e | </w:t>
      </w:r>
      <w:r>
        <w:rPr>
          <w:rFonts w:ascii="Arial" w:cs="Arial" w:eastAsia="Arial" w:hAnsi="Arial"/>
          <w:sz w:val="14"/>
          <w:szCs w:val="14"/>
          <w:b w:val="1"/>
          <w:bCs w:val="1"/>
          <w:color w:val="000000"/>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Q1 Volume Performance by Category</w:t>
      </w:r>
      <w:r>
        <w:rPr>
          <w:rFonts w:ascii="Arial" w:cs="Arial" w:eastAsia="Arial" w:hAnsi="Arial"/>
          <w:sz w:val="21"/>
          <w:szCs w:val="21"/>
          <w:b w:val="1"/>
          <w:bCs w:val="1"/>
          <w:color w:val="auto"/>
          <w:vertAlign w:val="superscript"/>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688340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83400" cy="137160"/>
                    </a:xfrm>
                    <a:prstGeom prst="rect">
                      <a:avLst/>
                    </a:prstGeom>
                    <a:noFill/>
                  </pic:spPr>
                </pic:pic>
              </a:graphicData>
            </a:graphic>
          </wp:anchor>
        </w:drawing>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460" w:type="dxa"/>
            <w:vAlign w:val="bottom"/>
          </w:tcPr>
          <w:p>
            <w:pPr>
              <w:spacing w:after="0"/>
              <w:rPr>
                <w:sz w:val="20"/>
                <w:szCs w:val="20"/>
                <w:color w:val="auto"/>
              </w:rPr>
            </w:pPr>
            <w:r>
              <w:rPr>
                <w:rFonts w:ascii="Arial" w:cs="Arial" w:eastAsia="Arial" w:hAnsi="Arial"/>
                <w:sz w:val="13"/>
                <w:szCs w:val="13"/>
                <w:i w:val="1"/>
                <w:iCs w:val="1"/>
                <w:color w:val="auto"/>
              </w:rPr>
              <w:t>All values are unaudited &amp; are on a comparable basis. All changes are versus prior year equivalent period unless stated otherwise.</w:t>
            </w:r>
          </w:p>
        </w:tc>
        <w:tc>
          <w:tcPr>
            <w:tcW w:w="16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7"/>
        </w:trPr>
        <w:tc>
          <w:tcPr>
            <w:tcW w:w="8460" w:type="dxa"/>
            <w:vAlign w:val="bottom"/>
          </w:tcPr>
          <w:p>
            <w:pPr>
              <w:spacing w:after="0"/>
              <w:rPr>
                <w:sz w:val="24"/>
                <w:szCs w:val="24"/>
                <w:color w:val="auto"/>
              </w:rPr>
            </w:pPr>
          </w:p>
        </w:tc>
        <w:tc>
          <w:tcPr>
            <w:tcW w:w="160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Q1</w:t>
            </w:r>
          </w:p>
        </w:tc>
        <w:tc>
          <w:tcPr>
            <w:tcW w:w="1160" w:type="dxa"/>
            <w:vAlign w:val="bottom"/>
            <w:tcBorders>
              <w:bottom w:val="single" w:sz="8" w:color="DBDBDB"/>
            </w:tcBorders>
          </w:tcPr>
          <w:p>
            <w:pPr>
              <w:spacing w:after="0"/>
              <w:rPr>
                <w:sz w:val="24"/>
                <w:szCs w:val="24"/>
                <w:color w:val="auto"/>
              </w:rPr>
            </w:pPr>
          </w:p>
        </w:tc>
      </w:tr>
      <w:tr>
        <w:trPr>
          <w:trHeight w:val="196"/>
        </w:trPr>
        <w:tc>
          <w:tcPr>
            <w:tcW w:w="8460" w:type="dxa"/>
            <w:vAlign w:val="bottom"/>
            <w:tcBorders>
              <w:bottom w:val="single" w:sz="8" w:color="F40009"/>
            </w:tcBorders>
          </w:tcPr>
          <w:p>
            <w:pPr>
              <w:spacing w:after="0"/>
              <w:rPr>
                <w:sz w:val="17"/>
                <w:szCs w:val="17"/>
                <w:color w:val="auto"/>
              </w:rPr>
            </w:pPr>
          </w:p>
        </w:tc>
        <w:tc>
          <w:tcPr>
            <w:tcW w:w="1600" w:type="dxa"/>
            <w:vAlign w:val="bottom"/>
            <w:tcBorders>
              <w:bottom w:val="single" w:sz="8" w:color="F40009"/>
            </w:tcBorders>
          </w:tcPr>
          <w:p>
            <w:pPr>
              <w:jc w:val="right"/>
              <w:ind w:right="508"/>
              <w:spacing w:after="0"/>
              <w:rPr>
                <w:sz w:val="20"/>
                <w:szCs w:val="20"/>
                <w:color w:val="auto"/>
              </w:rPr>
            </w:pPr>
            <w:r>
              <w:rPr>
                <w:rFonts w:ascii="Arial" w:cs="Arial" w:eastAsia="Arial" w:hAnsi="Arial"/>
                <w:sz w:val="14"/>
                <w:szCs w:val="14"/>
                <w:b w:val="1"/>
                <w:bCs w:val="1"/>
                <w:color w:val="auto"/>
              </w:rPr>
              <w:t>% of Total</w:t>
            </w:r>
          </w:p>
        </w:tc>
        <w:tc>
          <w:tcPr>
            <w:tcW w:w="1160" w:type="dxa"/>
            <w:vAlign w:val="bottom"/>
            <w:tcBorders>
              <w:bottom w:val="single" w:sz="8" w:color="F40009"/>
            </w:tcBorders>
          </w:tcPr>
          <w:p>
            <w:pPr>
              <w:jc w:val="right"/>
              <w:ind w:right="268"/>
              <w:spacing w:after="0"/>
              <w:rPr>
                <w:sz w:val="20"/>
                <w:szCs w:val="20"/>
                <w:color w:val="auto"/>
              </w:rPr>
            </w:pPr>
            <w:r>
              <w:rPr>
                <w:rFonts w:ascii="Arial" w:cs="Arial" w:eastAsia="Arial" w:hAnsi="Arial"/>
                <w:sz w:val="14"/>
                <w:szCs w:val="14"/>
                <w:b w:val="1"/>
                <w:bCs w:val="1"/>
                <w:color w:val="auto"/>
              </w:rPr>
              <w:t>% Change</w:t>
            </w:r>
          </w:p>
        </w:tc>
      </w:tr>
      <w:tr>
        <w:trPr>
          <w:trHeight w:val="193"/>
        </w:trPr>
        <w:tc>
          <w:tcPr>
            <w:tcW w:w="8460" w:type="dxa"/>
            <w:vAlign w:val="bottom"/>
            <w:tcBorders>
              <w:bottom w:val="single" w:sz="8" w:color="B6B6B6"/>
            </w:tcBorders>
          </w:tcPr>
          <w:p>
            <w:pPr>
              <w:ind w:left="140"/>
              <w:spacing w:after="0"/>
              <w:rPr>
                <w:sz w:val="20"/>
                <w:szCs w:val="20"/>
                <w:color w:val="auto"/>
              </w:rPr>
            </w:pPr>
            <w:r>
              <w:rPr>
                <w:rFonts w:ascii="Arial" w:cs="Arial" w:eastAsia="Arial" w:hAnsi="Arial"/>
                <w:sz w:val="14"/>
                <w:szCs w:val="14"/>
                <w:color w:val="auto"/>
              </w:rPr>
              <w:t>Coca-Cola®</w:t>
            </w:r>
          </w:p>
        </w:tc>
        <w:tc>
          <w:tcPr>
            <w:tcW w:w="1600" w:type="dxa"/>
            <w:vAlign w:val="bottom"/>
            <w:tcBorders>
              <w:bottom w:val="single" w:sz="8" w:color="B6B6B6"/>
            </w:tcBorders>
          </w:tcPr>
          <w:p>
            <w:pPr>
              <w:jc w:val="right"/>
              <w:ind w:right="168"/>
              <w:spacing w:after="0"/>
              <w:rPr>
                <w:sz w:val="20"/>
                <w:szCs w:val="20"/>
                <w:color w:val="auto"/>
              </w:rPr>
            </w:pPr>
            <w:r>
              <w:rPr>
                <w:rFonts w:ascii="Arial" w:cs="Arial" w:eastAsia="Arial" w:hAnsi="Arial"/>
                <w:sz w:val="14"/>
                <w:szCs w:val="14"/>
                <w:color w:val="auto"/>
              </w:rPr>
              <w:t>58.2 %</w:t>
            </w:r>
          </w:p>
        </w:tc>
        <w:tc>
          <w:tcPr>
            <w:tcW w:w="116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0.7 %</w:t>
            </w:r>
          </w:p>
        </w:tc>
      </w:tr>
      <w:tr>
        <w:trPr>
          <w:trHeight w:val="196"/>
        </w:trPr>
        <w:tc>
          <w:tcPr>
            <w:tcW w:w="8460" w:type="dxa"/>
            <w:vAlign w:val="bottom"/>
            <w:tcBorders>
              <w:bottom w:val="single" w:sz="8" w:color="B6B6B6"/>
            </w:tcBorders>
          </w:tcPr>
          <w:p>
            <w:pPr>
              <w:ind w:left="140"/>
              <w:spacing w:after="0"/>
              <w:rPr>
                <w:sz w:val="20"/>
                <w:szCs w:val="20"/>
                <w:color w:val="auto"/>
              </w:rPr>
            </w:pPr>
            <w:r>
              <w:rPr>
                <w:rFonts w:ascii="Arial" w:cs="Arial" w:eastAsia="Arial" w:hAnsi="Arial"/>
                <w:sz w:val="14"/>
                <w:szCs w:val="14"/>
                <w:color w:val="auto"/>
              </w:rPr>
              <w:t>Flavours &amp; Mixers</w:t>
            </w:r>
          </w:p>
        </w:tc>
        <w:tc>
          <w:tcPr>
            <w:tcW w:w="1600" w:type="dxa"/>
            <w:vAlign w:val="bottom"/>
            <w:tcBorders>
              <w:bottom w:val="single" w:sz="8" w:color="B6B6B6"/>
            </w:tcBorders>
          </w:tcPr>
          <w:p>
            <w:pPr>
              <w:jc w:val="right"/>
              <w:ind w:right="168"/>
              <w:spacing w:after="0"/>
              <w:rPr>
                <w:sz w:val="20"/>
                <w:szCs w:val="20"/>
                <w:color w:val="auto"/>
              </w:rPr>
            </w:pPr>
            <w:r>
              <w:rPr>
                <w:rFonts w:ascii="Arial" w:cs="Arial" w:eastAsia="Arial" w:hAnsi="Arial"/>
                <w:sz w:val="14"/>
                <w:szCs w:val="14"/>
                <w:color w:val="auto"/>
              </w:rPr>
              <w:t>22.5 %</w:t>
            </w:r>
          </w:p>
        </w:tc>
        <w:tc>
          <w:tcPr>
            <w:tcW w:w="116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1.2 %</w:t>
            </w:r>
          </w:p>
        </w:tc>
      </w:tr>
      <w:tr>
        <w:trPr>
          <w:trHeight w:val="200"/>
        </w:trPr>
        <w:tc>
          <w:tcPr>
            <w:tcW w:w="8460" w:type="dxa"/>
            <w:vAlign w:val="bottom"/>
            <w:tcBorders>
              <w:bottom w:val="single" w:sz="8" w:color="B6B6B6"/>
            </w:tcBorders>
          </w:tcPr>
          <w:p>
            <w:pPr>
              <w:ind w:left="140"/>
              <w:spacing w:after="0" w:line="200" w:lineRule="exact"/>
              <w:rPr>
                <w:sz w:val="20"/>
                <w:szCs w:val="20"/>
                <w:color w:val="auto"/>
              </w:rPr>
            </w:pPr>
            <w:r>
              <w:rPr>
                <w:rFonts w:ascii="Arial" w:cs="Arial" w:eastAsia="Arial" w:hAnsi="Arial"/>
                <w:sz w:val="14"/>
                <w:szCs w:val="14"/>
                <w:color w:val="auto"/>
              </w:rPr>
              <w:t>Water, Sports, RTD Tea &amp; Coffee</w:t>
            </w:r>
            <w:r>
              <w:rPr>
                <w:rFonts w:ascii="Arial" w:cs="Arial" w:eastAsia="Arial" w:hAnsi="Arial"/>
                <w:sz w:val="18"/>
                <w:szCs w:val="18"/>
                <w:color w:val="auto"/>
                <w:vertAlign w:val="superscript"/>
              </w:rPr>
              <w:t>[13]</w:t>
            </w:r>
          </w:p>
        </w:tc>
        <w:tc>
          <w:tcPr>
            <w:tcW w:w="1600" w:type="dxa"/>
            <w:vAlign w:val="bottom"/>
            <w:tcBorders>
              <w:bottom w:val="single" w:sz="8" w:color="B6B6B6"/>
            </w:tcBorders>
          </w:tcPr>
          <w:p>
            <w:pPr>
              <w:jc w:val="right"/>
              <w:ind w:right="168"/>
              <w:spacing w:after="0"/>
              <w:rPr>
                <w:sz w:val="20"/>
                <w:szCs w:val="20"/>
                <w:color w:val="auto"/>
              </w:rPr>
            </w:pPr>
            <w:r>
              <w:rPr>
                <w:rFonts w:ascii="Arial" w:cs="Arial" w:eastAsia="Arial" w:hAnsi="Arial"/>
                <w:sz w:val="14"/>
                <w:szCs w:val="14"/>
                <w:color w:val="auto"/>
              </w:rPr>
              <w:t>11.4 %</w:t>
            </w:r>
          </w:p>
        </w:tc>
        <w:tc>
          <w:tcPr>
            <w:tcW w:w="116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1.7 %</w:t>
            </w:r>
          </w:p>
        </w:tc>
      </w:tr>
      <w:tr>
        <w:trPr>
          <w:trHeight w:val="192"/>
        </w:trPr>
        <w:tc>
          <w:tcPr>
            <w:tcW w:w="8460" w:type="dxa"/>
            <w:vAlign w:val="bottom"/>
            <w:tcBorders>
              <w:bottom w:val="single" w:sz="8" w:color="B6B6B6"/>
            </w:tcBorders>
          </w:tcPr>
          <w:p>
            <w:pPr>
              <w:ind w:left="140"/>
              <w:spacing w:after="0"/>
              <w:rPr>
                <w:sz w:val="20"/>
                <w:szCs w:val="20"/>
                <w:color w:val="auto"/>
              </w:rPr>
            </w:pPr>
            <w:r>
              <w:rPr>
                <w:rFonts w:ascii="Arial" w:cs="Arial" w:eastAsia="Arial" w:hAnsi="Arial"/>
                <w:sz w:val="14"/>
                <w:szCs w:val="14"/>
                <w:color w:val="auto"/>
              </w:rPr>
              <w:t>Other inc. Energy</w:t>
            </w:r>
          </w:p>
        </w:tc>
        <w:tc>
          <w:tcPr>
            <w:tcW w:w="1600" w:type="dxa"/>
            <w:vAlign w:val="bottom"/>
            <w:tcBorders>
              <w:bottom w:val="single" w:sz="8" w:color="B6B6B6"/>
            </w:tcBorders>
          </w:tcPr>
          <w:p>
            <w:pPr>
              <w:jc w:val="right"/>
              <w:ind w:right="168"/>
              <w:spacing w:after="0"/>
              <w:rPr>
                <w:sz w:val="20"/>
                <w:szCs w:val="20"/>
                <w:color w:val="auto"/>
              </w:rPr>
            </w:pPr>
            <w:r>
              <w:rPr>
                <w:rFonts w:ascii="Arial" w:cs="Arial" w:eastAsia="Arial" w:hAnsi="Arial"/>
                <w:sz w:val="14"/>
                <w:szCs w:val="14"/>
                <w:color w:val="auto"/>
              </w:rPr>
              <w:t>7.9 %</w:t>
            </w:r>
          </w:p>
        </w:tc>
        <w:tc>
          <w:tcPr>
            <w:tcW w:w="116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9.2 %</w:t>
            </w:r>
          </w:p>
        </w:tc>
      </w:tr>
      <w:tr>
        <w:trPr>
          <w:trHeight w:val="199"/>
        </w:trPr>
        <w:tc>
          <w:tcPr>
            <w:tcW w:w="8460" w:type="dxa"/>
            <w:vAlign w:val="bottom"/>
            <w:tcBorders>
              <w:bottom w:val="single" w:sz="8" w:color="B6B6B6"/>
            </w:tcBorders>
            <w:shd w:val="clear" w:color="auto" w:fill="E0E0E0"/>
          </w:tcPr>
          <w:p>
            <w:pPr>
              <w:ind w:left="20"/>
              <w:spacing w:after="0"/>
              <w:rPr>
                <w:sz w:val="20"/>
                <w:szCs w:val="20"/>
                <w:color w:val="auto"/>
              </w:rPr>
            </w:pPr>
            <w:r>
              <w:rPr>
                <w:rFonts w:ascii="Arial" w:cs="Arial" w:eastAsia="Arial" w:hAnsi="Arial"/>
                <w:sz w:val="14"/>
                <w:szCs w:val="14"/>
                <w:b w:val="1"/>
                <w:bCs w:val="1"/>
                <w:color w:val="auto"/>
              </w:rPr>
              <w:t>Total</w:t>
            </w:r>
          </w:p>
        </w:tc>
        <w:tc>
          <w:tcPr>
            <w:tcW w:w="1600" w:type="dxa"/>
            <w:vAlign w:val="bottom"/>
            <w:tcBorders>
              <w:bottom w:val="single" w:sz="8" w:color="B6B6B6"/>
            </w:tcBorders>
            <w:shd w:val="clear" w:color="auto" w:fill="E0E0E0"/>
          </w:tcPr>
          <w:p>
            <w:pPr>
              <w:jc w:val="right"/>
              <w:ind w:right="168"/>
              <w:spacing w:after="0"/>
              <w:rPr>
                <w:sz w:val="20"/>
                <w:szCs w:val="20"/>
                <w:color w:val="auto"/>
              </w:rPr>
            </w:pPr>
            <w:r>
              <w:rPr>
                <w:rFonts w:ascii="Arial" w:cs="Arial" w:eastAsia="Arial" w:hAnsi="Arial"/>
                <w:sz w:val="14"/>
                <w:szCs w:val="14"/>
                <w:b w:val="1"/>
                <w:bCs w:val="1"/>
                <w:color w:val="auto"/>
              </w:rPr>
              <w:t>100.0 %</w:t>
            </w:r>
          </w:p>
        </w:tc>
        <w:tc>
          <w:tcPr>
            <w:tcW w:w="1160" w:type="dxa"/>
            <w:vAlign w:val="bottom"/>
            <w:tcBorders>
              <w:bottom w:val="single" w:sz="8" w:color="B6B6B6"/>
            </w:tcBorders>
            <w:shd w:val="clear" w:color="auto" w:fill="E0E0E0"/>
          </w:tcPr>
          <w:p>
            <w:pPr>
              <w:jc w:val="right"/>
              <w:spacing w:after="0"/>
              <w:rPr>
                <w:sz w:val="20"/>
                <w:szCs w:val="20"/>
                <w:color w:val="auto"/>
              </w:rPr>
            </w:pPr>
            <w:r>
              <w:rPr>
                <w:rFonts w:ascii="Arial" w:cs="Arial" w:eastAsia="Arial" w:hAnsi="Arial"/>
                <w:sz w:val="14"/>
                <w:szCs w:val="14"/>
                <w:b w:val="1"/>
                <w:bCs w:val="1"/>
                <w:color w:val="auto"/>
              </w:rPr>
              <w:t>1.6 %</w:t>
            </w:r>
          </w:p>
        </w:tc>
      </w:tr>
    </w:tbl>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Coca-Cola®</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Q1 +0.7%</w:t>
      </w:r>
    </w:p>
    <w:p>
      <w:pPr>
        <w:ind w:left="320" w:hanging="312"/>
        <w:spacing w:after="0"/>
        <w:tabs>
          <w:tab w:leader="none" w:pos="3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Solid growth driven by Cherry float launch (Original Taste &amp; Zero Sugar) &amp; Premier League campaigns underpinned by elevated activation &amp; execution.</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Original Taste -3.2% with continued growth in APS offset by Europe.</w:t>
      </w:r>
    </w:p>
    <w:p>
      <w:pPr>
        <w:spacing w:after="0" w:line="14" w:lineRule="exact"/>
        <w:rPr>
          <w:rFonts w:ascii="Arial" w:cs="Arial" w:eastAsia="Arial" w:hAnsi="Arial"/>
          <w:sz w:val="16"/>
          <w:szCs w:val="16"/>
          <w:color w:val="auto"/>
        </w:rPr>
      </w:pPr>
    </w:p>
    <w:p>
      <w:pPr>
        <w:ind w:left="340" w:right="140" w:hanging="332"/>
        <w:spacing w:after="0" w:line="270" w:lineRule="auto"/>
        <w:tabs>
          <w:tab w:leader="none" w:pos="329" w:val="left"/>
        </w:tabs>
        <w:numPr>
          <w:ilvl w:val="0"/>
          <w:numId w:val="11"/>
        </w:numPr>
        <w:rPr>
          <w:rFonts w:ascii="Arial" w:cs="Arial" w:eastAsia="Arial" w:hAnsi="Arial"/>
          <w:sz w:val="16"/>
          <w:szCs w:val="16"/>
          <w:color w:val="auto"/>
        </w:rPr>
      </w:pPr>
      <w:r>
        <w:rPr>
          <w:rFonts w:ascii="Arial" w:cs="Arial" w:eastAsia="Arial" w:hAnsi="Arial"/>
          <w:sz w:val="16"/>
          <w:szCs w:val="16"/>
          <w:color w:val="auto"/>
        </w:rPr>
        <w:t>Zero Sugar +10%, led by strong growth in Europe &amp; APS, supported by new variants &amp; Zero Caffeine launch in new black &amp; gold packaging. Improved Diet Coke performance supported by the new Cherry flavour &amp; Devil Wears Prada movie sequal campaign.</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Flavours &amp; Mixers</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Q1 +1.2%</w:t>
      </w:r>
    </w:p>
    <w:p>
      <w:pPr>
        <w:ind w:left="320" w:hanging="312"/>
        <w:spacing w:after="0"/>
        <w:tabs>
          <w:tab w:leader="none" w:pos="3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Sprite +3.2% driven by high single-digit growth in Europe, reflecting launch of Sprite Chill, new listings in GB &amp; growth in Spain.</w:t>
      </w:r>
    </w:p>
    <w:p>
      <w:pPr>
        <w:spacing w:after="0" w:line="14" w:lineRule="exact"/>
        <w:rPr>
          <w:rFonts w:ascii="Arial" w:cs="Arial" w:eastAsia="Arial" w:hAnsi="Arial"/>
          <w:sz w:val="16"/>
          <w:szCs w:val="16"/>
          <w:color w:val="auto"/>
        </w:rPr>
      </w:pPr>
    </w:p>
    <w:p>
      <w:pPr>
        <w:ind w:left="340" w:right="420" w:hanging="332"/>
        <w:spacing w:after="0" w:line="257" w:lineRule="auto"/>
        <w:tabs>
          <w:tab w:leader="none" w:pos="329" w:val="left"/>
        </w:tabs>
        <w:numPr>
          <w:ilvl w:val="0"/>
          <w:numId w:val="12"/>
        </w:numPr>
        <w:rPr>
          <w:rFonts w:ascii="Arial" w:cs="Arial" w:eastAsia="Arial" w:hAnsi="Arial"/>
          <w:sz w:val="16"/>
          <w:szCs w:val="16"/>
          <w:color w:val="auto"/>
        </w:rPr>
      </w:pPr>
      <w:r>
        <w:rPr>
          <w:rFonts w:ascii="Arial" w:cs="Arial" w:eastAsia="Arial" w:hAnsi="Arial"/>
          <w:sz w:val="16"/>
          <w:szCs w:val="16"/>
          <w:color w:val="auto"/>
        </w:rPr>
        <w:t>Fanta broadly flat with overall performance supported by new flavours (e.g. festive fruit punch in Indonesia), Zero Sugar variants &amp; impactful X-box campaigns.</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Continued momentum on Dr Pepper with high single-digit growth in GB supported by launch of new Cream swirl variant.</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Water, Sports, RTD Tea &amp; Coffee</w:t>
      </w:r>
      <w:r>
        <w:rPr>
          <w:rFonts w:ascii="Arial" w:cs="Arial" w:eastAsia="Arial" w:hAnsi="Arial"/>
          <w:sz w:val="21"/>
          <w:szCs w:val="21"/>
          <w:b w:val="1"/>
          <w:bCs w:val="1"/>
          <w:color w:val="auto"/>
          <w:vertAlign w:val="superscript"/>
        </w:rPr>
        <w:t>[13]</w:t>
      </w:r>
    </w:p>
    <w:p>
      <w:pPr>
        <w:spacing w:after="0" w:line="228" w:lineRule="auto"/>
        <w:rPr>
          <w:sz w:val="20"/>
          <w:szCs w:val="20"/>
          <w:color w:val="auto"/>
        </w:rPr>
      </w:pPr>
      <w:r>
        <w:rPr>
          <w:rFonts w:ascii="Arial" w:cs="Arial" w:eastAsia="Arial" w:hAnsi="Arial"/>
          <w:sz w:val="16"/>
          <w:szCs w:val="16"/>
          <w:b w:val="1"/>
          <w:bCs w:val="1"/>
          <w:color w:val="auto"/>
        </w:rPr>
        <w:t>Q1 +1.7%</w:t>
      </w:r>
    </w:p>
    <w:p>
      <w:pPr>
        <w:spacing w:after="0" w:line="1"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Water +3.9% reflecting new Smartwater listings in GB, growth of Chaudfontaine in FBN &amp; Wilkins Pure in the Philippines.</w:t>
      </w:r>
    </w:p>
    <w:p>
      <w:pPr>
        <w:spacing w:after="0" w:line="14" w:lineRule="exact"/>
        <w:rPr>
          <w:rFonts w:ascii="Arial" w:cs="Arial" w:eastAsia="Arial" w:hAnsi="Arial"/>
          <w:sz w:val="16"/>
          <w:szCs w:val="16"/>
          <w:color w:val="auto"/>
        </w:rPr>
      </w:pPr>
    </w:p>
    <w:p>
      <w:pPr>
        <w:ind w:left="340" w:right="160" w:hanging="332"/>
        <w:spacing w:after="0" w:line="255" w:lineRule="auto"/>
        <w:tabs>
          <w:tab w:leader="none" w:pos="329" w:val="left"/>
        </w:tabs>
        <w:numPr>
          <w:ilvl w:val="0"/>
          <w:numId w:val="13"/>
        </w:numPr>
        <w:rPr>
          <w:rFonts w:ascii="Arial" w:cs="Arial" w:eastAsia="Arial" w:hAnsi="Arial"/>
          <w:sz w:val="16"/>
          <w:szCs w:val="16"/>
          <w:color w:val="auto"/>
        </w:rPr>
      </w:pPr>
      <w:r>
        <w:rPr>
          <w:rFonts w:ascii="Arial" w:cs="Arial" w:eastAsia="Arial" w:hAnsi="Arial"/>
          <w:sz w:val="16"/>
          <w:szCs w:val="16"/>
          <w:color w:val="auto"/>
        </w:rPr>
        <w:t>Sports +5.9% driven by continued growth of Aquarius in Spain &amp; high single-digit growth in Powerade (supported by new packs, flavours &amp; distribution gains).</w:t>
      </w:r>
    </w:p>
    <w:p>
      <w:pPr>
        <w:ind w:left="320" w:hanging="312"/>
        <w:spacing w:after="0"/>
        <w:tabs>
          <w:tab w:leader="none" w:pos="3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RTD Tea &amp; Coffee -8.2% reflecting high single digit growth in Spain with Fuze Tea offset by decline in Indonesia.</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inc. Energy</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Q1 +9.2%</w:t>
      </w:r>
    </w:p>
    <w:p>
      <w:pPr>
        <w:ind w:left="340" w:right="140" w:hanging="332"/>
        <w:spacing w:after="0" w:line="252" w:lineRule="auto"/>
        <w:tabs>
          <w:tab w:leader="none" w:pos="329" w:val="left"/>
        </w:tabs>
        <w:numPr>
          <w:ilvl w:val="0"/>
          <w:numId w:val="14"/>
        </w:numPr>
        <w:rPr>
          <w:rFonts w:ascii="Arial" w:cs="Arial" w:eastAsia="Arial" w:hAnsi="Arial"/>
          <w:sz w:val="16"/>
          <w:szCs w:val="16"/>
          <w:color w:val="auto"/>
        </w:rPr>
      </w:pPr>
      <w:r>
        <w:rPr>
          <w:rFonts w:ascii="Arial" w:cs="Arial" w:eastAsia="Arial" w:hAnsi="Arial"/>
          <w:sz w:val="16"/>
          <w:szCs w:val="16"/>
          <w:color w:val="auto"/>
        </w:rPr>
        <w:t>Energy +21.3% driven by innovation (e.g. Viking Berry &amp; Ultra Ruby Red), distribution gains &amp; growth in multipacks &amp; original variants e.g. Ultra White. Energy share +250bps.</w:t>
      </w:r>
    </w:p>
    <w:p>
      <w:pPr>
        <w:spacing w:after="0" w:line="1" w:lineRule="exact"/>
        <w:rPr>
          <w:rFonts w:ascii="Arial" w:cs="Arial" w:eastAsia="Arial" w:hAnsi="Arial"/>
          <w:sz w:val="16"/>
          <w:szCs w:val="16"/>
          <w:color w:val="auto"/>
        </w:rPr>
      </w:pPr>
    </w:p>
    <w:p>
      <w:pPr>
        <w:ind w:left="340" w:right="180" w:hanging="332"/>
        <w:spacing w:after="0" w:line="270" w:lineRule="auto"/>
        <w:tabs>
          <w:tab w:leader="none" w:pos="329" w:val="left"/>
        </w:tabs>
        <w:numPr>
          <w:ilvl w:val="0"/>
          <w:numId w:val="14"/>
        </w:numPr>
        <w:rPr>
          <w:rFonts w:ascii="Arial" w:cs="Arial" w:eastAsia="Arial" w:hAnsi="Arial"/>
          <w:sz w:val="16"/>
          <w:szCs w:val="16"/>
          <w:color w:val="auto"/>
        </w:rPr>
      </w:pPr>
      <w:r>
        <w:rPr>
          <w:rFonts w:ascii="Arial" w:cs="Arial" w:eastAsia="Arial" w:hAnsi="Arial"/>
          <w:sz w:val="16"/>
          <w:szCs w:val="16"/>
          <w:color w:val="auto"/>
        </w:rPr>
        <w:t>ARTD momentum continued with launch of new Spiced rum Bacardi &amp; Coke (Aus &amp; GB), Absolut Sprite Pineapple &amp; new sleek cans for JD &amp; Coke in GB. Exit of Suntory alcohol distribution in Australia &amp; NZ impacted Q1 as previously announced.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263" w:lineRule="exact"/>
        <w:rPr>
          <w:sz w:val="20"/>
          <w:szCs w:val="20"/>
          <w:color w:val="auto"/>
        </w:rPr>
      </w:pPr>
    </w:p>
    <w:p>
      <w:pPr>
        <w:ind w:left="340" w:right="440" w:hanging="332"/>
        <w:spacing w:after="0" w:line="255" w:lineRule="auto"/>
        <w:tabs>
          <w:tab w:leader="none" w:pos="329" w:val="left"/>
        </w:tabs>
        <w:numPr>
          <w:ilvl w:val="0"/>
          <w:numId w:val="15"/>
        </w:numPr>
        <w:rPr>
          <w:rFonts w:ascii="Arial" w:cs="Arial" w:eastAsia="Arial" w:hAnsi="Arial"/>
          <w:sz w:val="12"/>
          <w:szCs w:val="12"/>
          <w:color w:val="auto"/>
        </w:rPr>
      </w:pPr>
      <w:r>
        <w:rPr>
          <w:rFonts w:ascii="Arial" w:cs="Arial" w:eastAsia="Arial" w:hAnsi="Arial"/>
          <w:sz w:val="12"/>
          <w:szCs w:val="12"/>
          <w:color w:val="auto"/>
        </w:rPr>
        <w:t>Refer to ‘Note regarding the Presentation of Alternative Performance Measures’ for further details &amp; to ‘Supplementary Financial Information’ for a reconciliation of reported to comparable results; Change percentages against prior year equivalent period unless stated otherwise</w:t>
      </w:r>
    </w:p>
    <w:p>
      <w:pPr>
        <w:ind w:left="320" w:hanging="312"/>
        <w:spacing w:after="0"/>
        <w:tabs>
          <w:tab w:leader="none" w:pos="3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A unit case equals approximately 5.678 litres or 24 8-ounce servings</w:t>
      </w:r>
    </w:p>
    <w:p>
      <w:pPr>
        <w:spacing w:after="0" w:line="3" w:lineRule="exact"/>
        <w:rPr>
          <w:rFonts w:ascii="Arial" w:cs="Arial" w:eastAsia="Arial" w:hAnsi="Arial"/>
          <w:sz w:val="12"/>
          <w:szCs w:val="12"/>
          <w:color w:val="auto"/>
        </w:rPr>
      </w:pPr>
    </w:p>
    <w:p>
      <w:pPr>
        <w:ind w:left="320" w:hanging="312"/>
        <w:spacing w:after="0"/>
        <w:tabs>
          <w:tab w:leader="none" w:pos="3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FX-neutral</w:t>
      </w:r>
    </w:p>
    <w:p>
      <w:pPr>
        <w:spacing w:after="0" w:line="3" w:lineRule="exact"/>
        <w:rPr>
          <w:rFonts w:ascii="Arial" w:cs="Arial" w:eastAsia="Arial" w:hAnsi="Arial"/>
          <w:sz w:val="12"/>
          <w:szCs w:val="12"/>
          <w:color w:val="auto"/>
        </w:rPr>
      </w:pPr>
    </w:p>
    <w:p>
      <w:pPr>
        <w:ind w:left="320" w:hanging="312"/>
        <w:spacing w:after="0" w:line="234" w:lineRule="auto"/>
        <w:tabs>
          <w:tab w:leader="none" w:pos="3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Comparable volume growth rates are calculated on an Average Daily Sales (ADS) basis</w:t>
      </w:r>
    </w:p>
    <w:p>
      <w:pPr>
        <w:ind w:left="320" w:hanging="312"/>
        <w:spacing w:after="0"/>
        <w:tabs>
          <w:tab w:leader="none" w:pos="3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External data sources: Nielsen &amp; IRI Period 3 YTD</w:t>
      </w:r>
    </w:p>
    <w:p>
      <w:pPr>
        <w:spacing w:after="0" w:line="3" w:lineRule="exact"/>
        <w:rPr>
          <w:rFonts w:ascii="Arial" w:cs="Arial" w:eastAsia="Arial" w:hAnsi="Arial"/>
          <w:sz w:val="12"/>
          <w:szCs w:val="12"/>
          <w:color w:val="auto"/>
        </w:rPr>
      </w:pPr>
    </w:p>
    <w:p>
      <w:pPr>
        <w:ind w:left="320" w:hanging="312"/>
        <w:spacing w:after="0"/>
        <w:tabs>
          <w:tab w:leader="none" w:pos="3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Adjusted for consumption days shift with six additional consumption days Q1’26 versus Q1’25.</w:t>
      </w:r>
    </w:p>
    <w:p>
      <w:pPr>
        <w:spacing w:after="0" w:line="3" w:lineRule="exact"/>
        <w:rPr>
          <w:rFonts w:ascii="Arial" w:cs="Arial" w:eastAsia="Arial" w:hAnsi="Arial"/>
          <w:sz w:val="12"/>
          <w:szCs w:val="12"/>
          <w:color w:val="auto"/>
        </w:rPr>
      </w:pPr>
    </w:p>
    <w:p>
      <w:pPr>
        <w:ind w:left="320" w:hanging="312"/>
        <w:spacing w:after="0" w:line="234" w:lineRule="auto"/>
        <w:tabs>
          <w:tab w:leader="none" w:pos="3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Dividends subject to Board approval</w:t>
      </w:r>
    </w:p>
    <w:p>
      <w:pPr>
        <w:ind w:left="320" w:hanging="312"/>
        <w:spacing w:after="0"/>
        <w:tabs>
          <w:tab w:leader="none" w:pos="3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Includes France, Monaco, Belgium, Luxembourg, the Netherlands, Norway, Sweden &amp; Iceland</w:t>
      </w:r>
    </w:p>
    <w:p>
      <w:pPr>
        <w:spacing w:after="0" w:line="3" w:lineRule="exact"/>
        <w:rPr>
          <w:rFonts w:ascii="Arial" w:cs="Arial" w:eastAsia="Arial" w:hAnsi="Arial"/>
          <w:sz w:val="12"/>
          <w:szCs w:val="12"/>
          <w:color w:val="auto"/>
        </w:rPr>
      </w:pPr>
    </w:p>
    <w:p>
      <w:pPr>
        <w:ind w:left="320" w:hanging="312"/>
        <w:spacing w:after="0"/>
        <w:tabs>
          <w:tab w:leader="none" w:pos="3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Includes Spain, Portugal &amp; Andorra</w:t>
      </w:r>
    </w:p>
    <w:p>
      <w:pPr>
        <w:spacing w:after="0" w:line="3" w:lineRule="exact"/>
        <w:rPr>
          <w:rFonts w:ascii="Arial" w:cs="Arial" w:eastAsia="Arial" w:hAnsi="Arial"/>
          <w:sz w:val="12"/>
          <w:szCs w:val="12"/>
          <w:color w:val="auto"/>
        </w:rPr>
      </w:pPr>
    </w:p>
    <w:p>
      <w:pPr>
        <w:ind w:left="320" w:hanging="312"/>
        <w:spacing w:after="0"/>
        <w:tabs>
          <w:tab w:leader="none" w:pos="3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Revenue per unit case</w:t>
      </w:r>
    </w:p>
    <w:p>
      <w:pPr>
        <w:spacing w:after="0" w:line="3" w:lineRule="exact"/>
        <w:rPr>
          <w:rFonts w:ascii="Arial" w:cs="Arial" w:eastAsia="Arial" w:hAnsi="Arial"/>
          <w:sz w:val="12"/>
          <w:szCs w:val="12"/>
          <w:color w:val="auto"/>
        </w:rPr>
      </w:pPr>
    </w:p>
    <w:p>
      <w:pPr>
        <w:ind w:left="320" w:hanging="312"/>
        <w:spacing w:after="0"/>
        <w:tabs>
          <w:tab w:leader="none" w:pos="3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Includes Australia, New Zealand, the Pacific Islands &amp; Papua New Guinea</w:t>
      </w:r>
    </w:p>
    <w:p>
      <w:pPr>
        <w:spacing w:after="0" w:line="3" w:lineRule="exact"/>
        <w:rPr>
          <w:rFonts w:ascii="Arial" w:cs="Arial" w:eastAsia="Arial" w:hAnsi="Arial"/>
          <w:sz w:val="12"/>
          <w:szCs w:val="12"/>
          <w:color w:val="auto"/>
        </w:rPr>
      </w:pPr>
    </w:p>
    <w:p>
      <w:pPr>
        <w:ind w:left="320" w:hanging="312"/>
        <w:spacing w:after="0" w:line="234" w:lineRule="auto"/>
        <w:tabs>
          <w:tab w:leader="none" w:pos="3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Includes Philippines &amp; Indonesia</w:t>
      </w:r>
    </w:p>
    <w:p>
      <w:pPr>
        <w:ind w:left="320" w:hanging="312"/>
        <w:spacing w:after="0"/>
        <w:tabs>
          <w:tab w:leader="none" w:pos="3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RTD refers to ready to drink</w:t>
      </w:r>
    </w:p>
    <w:p>
      <w:pPr>
        <w:sectPr>
          <w:pgSz w:w="11900" w:h="16838" w:orient="portrait"/>
          <w:cols w:equalWidth="0" w:num="1">
            <w:col w:w="11220"/>
          </w:cols>
          <w:pgMar w:left="320" w:top="657" w:right="359" w:bottom="1440" w:gutter="0" w:footer="0" w:header="0"/>
        </w:sectPr>
      </w:pPr>
    </w:p>
    <w:bookmarkStart w:id="5" w:name="page6"/>
    <w:bookmarkEnd w:id="5"/>
    <w:p>
      <w:pPr>
        <w:ind w:left="10560"/>
        <w:spacing w:after="0"/>
        <w:rPr>
          <w:sz w:val="20"/>
          <w:szCs w:val="20"/>
          <w:color w:val="auto"/>
        </w:rPr>
      </w:pPr>
      <w:r>
        <w:rPr>
          <w:rFonts w:ascii="Arial" w:cs="Arial" w:eastAsia="Arial" w:hAnsi="Arial"/>
          <w:sz w:val="14"/>
          <w:szCs w:val="14"/>
          <w:color w:val="F40009"/>
        </w:rPr>
        <w:drawing>
          <wp:anchor simplePos="0" relativeHeight="251657728" behindDoc="1" locked="0" layoutInCell="0" allowOverlap="1">
            <wp:simplePos x="0" y="0"/>
            <wp:positionH relativeFrom="page">
              <wp:posOffset>216535</wp:posOffset>
            </wp:positionH>
            <wp:positionV relativeFrom="page">
              <wp:posOffset>165735</wp:posOffset>
            </wp:positionV>
            <wp:extent cx="1663065" cy="3175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663065" cy="317500"/>
                    </a:xfrm>
                    <a:prstGeom prst="rect">
                      <a:avLst/>
                    </a:prstGeom>
                    <a:noFill/>
                  </pic:spPr>
                </pic:pic>
              </a:graphicData>
            </a:graphic>
          </wp:anchor>
        </w:drawing>
        <w:t xml:space="preserve">P a g e | </w:t>
      </w:r>
      <w:r>
        <w:rPr>
          <w:rFonts w:ascii="Arial" w:cs="Arial" w:eastAsia="Arial" w:hAnsi="Arial"/>
          <w:sz w:val="14"/>
          <w:szCs w:val="14"/>
          <w:b w:val="1"/>
          <w:bCs w:val="1"/>
          <w:color w:val="000000"/>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675005</wp:posOffset>
            </wp:positionV>
            <wp:extent cx="713232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Forward-Looking Statements</w:t>
      </w:r>
    </w:p>
    <w:p>
      <w:pPr>
        <w:spacing w:after="0" w:line="223" w:lineRule="exact"/>
        <w:rPr>
          <w:sz w:val="20"/>
          <w:szCs w:val="20"/>
          <w:color w:val="auto"/>
        </w:rPr>
      </w:pPr>
    </w:p>
    <w:p>
      <w:pPr>
        <w:ind w:right="240"/>
        <w:spacing w:after="0" w:line="247" w:lineRule="auto"/>
        <w:rPr>
          <w:sz w:val="20"/>
          <w:szCs w:val="20"/>
          <w:color w:val="auto"/>
        </w:rPr>
      </w:pPr>
      <w:r>
        <w:rPr>
          <w:rFonts w:ascii="Arial" w:cs="Arial" w:eastAsia="Arial" w:hAnsi="Arial"/>
          <w:sz w:val="16"/>
          <w:szCs w:val="16"/>
          <w:i w:val="1"/>
          <w:iCs w:val="1"/>
          <w:color w:val="auto"/>
        </w:rPr>
        <w:t>This document contains statements, estimates or projections that constitute “forward-looking statements” concerning the financial condition, performance, results, guidance and outlook, dividends, consequences of mergers, acquisitions, joint ventures, divestitures, strategy and objectives of Coca-Cola Europacific Partners plc and its subsidiaries (together CCEP or the Group). Generally, the words “ambition”, “target”, “aim”, “believe”, “expect”, “intend”, “estimate”, “anticipate”, “project”, “plan”, “seek”, “may”, “could”, “would”, “should”, “might”, “will”, “forecast”, “outlook”, “guidance”, “possible”, “potential”, “predict”, “objective” and similar expressions identify forward-looking statements, which generally are not historical in nature.</w:t>
      </w:r>
    </w:p>
    <w:p>
      <w:pPr>
        <w:spacing w:after="0" w:line="214" w:lineRule="exact"/>
        <w:rPr>
          <w:sz w:val="20"/>
          <w:szCs w:val="20"/>
          <w:color w:val="auto"/>
        </w:rPr>
      </w:pPr>
    </w:p>
    <w:p>
      <w:pPr>
        <w:jc w:val="both"/>
        <w:spacing w:after="0" w:line="229" w:lineRule="auto"/>
        <w:rPr>
          <w:sz w:val="20"/>
          <w:szCs w:val="20"/>
          <w:color w:val="auto"/>
        </w:rPr>
      </w:pPr>
      <w:r>
        <w:rPr>
          <w:rFonts w:ascii="Arial" w:cs="Arial" w:eastAsia="Arial" w:hAnsi="Arial"/>
          <w:sz w:val="16"/>
          <w:szCs w:val="16"/>
          <w:i w:val="1"/>
          <w:iCs w:val="1"/>
          <w:color w:val="auto"/>
        </w:rPr>
        <w:t>Forward-looking statements are subject to certain risks that could cause actual results to differ materially. Forward-looking statements are based upon various assumptions as well as CCEP’s historical experience and present expectations or projections. As a result, undue reliance should not be placed on</w:t>
      </w:r>
    </w:p>
    <w:p>
      <w:pPr>
        <w:jc w:val="both"/>
        <w:spacing w:after="0" w:line="228" w:lineRule="auto"/>
        <w:rPr>
          <w:sz w:val="20"/>
          <w:szCs w:val="20"/>
          <w:color w:val="auto"/>
        </w:rPr>
      </w:pPr>
      <w:r>
        <w:rPr>
          <w:rFonts w:ascii="Arial" w:cs="Arial" w:eastAsia="Arial" w:hAnsi="Arial"/>
          <w:sz w:val="16"/>
          <w:szCs w:val="16"/>
          <w:i w:val="1"/>
          <w:iCs w:val="1"/>
          <w:color w:val="auto"/>
        </w:rPr>
        <w:t>forward-looking statements, which speak only as of the date on which they are made. Factors that, in CCEP’s view, could cause such actual results to differ materially from forward-looking statements include, but are not limited to, those set forth in the “Risk Factors” section of CCEP’s 2025 Annual Report on Form 20-F filed with the SEC on 13 March 2026 and subsequent filings, including, but not limited to: changes in the marketplace; changes in relationships</w:t>
      </w:r>
    </w:p>
    <w:p>
      <w:pPr>
        <w:spacing w:after="0" w:line="2" w:lineRule="exact"/>
        <w:rPr>
          <w:sz w:val="20"/>
          <w:szCs w:val="20"/>
          <w:color w:val="auto"/>
        </w:rPr>
      </w:pPr>
    </w:p>
    <w:p>
      <w:pPr>
        <w:jc w:val="both"/>
        <w:spacing w:after="0" w:line="220" w:lineRule="auto"/>
        <w:rPr>
          <w:sz w:val="20"/>
          <w:szCs w:val="20"/>
          <w:color w:val="auto"/>
        </w:rPr>
      </w:pPr>
      <w:r>
        <w:rPr>
          <w:rFonts w:ascii="Arial" w:cs="Arial" w:eastAsia="Arial" w:hAnsi="Arial"/>
          <w:sz w:val="16"/>
          <w:szCs w:val="16"/>
          <w:i w:val="1"/>
          <w:iCs w:val="1"/>
          <w:color w:val="auto"/>
        </w:rPr>
        <w:t>with large customers; adverse weather conditions; importation of other bottlers’ products into our territories; deterioration of global and local economic and political conditions; increases in costs of raw materials; changes in interest rates or debt rating; deterioration in political unity within the European Union;</w:t>
      </w:r>
    </w:p>
    <w:p>
      <w:pPr>
        <w:jc w:val="both"/>
        <w:spacing w:after="0" w:line="228" w:lineRule="auto"/>
        <w:rPr>
          <w:sz w:val="20"/>
          <w:szCs w:val="20"/>
          <w:color w:val="auto"/>
        </w:rPr>
      </w:pPr>
      <w:r>
        <w:rPr>
          <w:rFonts w:ascii="Arial" w:cs="Arial" w:eastAsia="Arial" w:hAnsi="Arial"/>
          <w:sz w:val="16"/>
          <w:szCs w:val="16"/>
          <w:i w:val="1"/>
          <w:iCs w:val="1"/>
          <w:color w:val="auto"/>
        </w:rPr>
        <w:t>defaults of or failures by counterparty financial institutions; changes in tax law in countries in which we operate; additional levies of taxes; waste and pollution, health concerns perceptions, and recycling matters related to packaging; global or regional catastrophic events; cyberattacks against us or our customers or suppliers; technology failures; initiatives to realise cost savings; calculating infrastructure investment; executing on our acquisition strategy; costs, limitations of supplies, and quality of raw materials; maintenance of brand image and product quality; managing workplace health, safety and security;</w:t>
      </w:r>
    </w:p>
    <w:p>
      <w:pPr>
        <w:spacing w:after="0" w:line="3" w:lineRule="exact"/>
        <w:rPr>
          <w:sz w:val="20"/>
          <w:szCs w:val="20"/>
          <w:color w:val="auto"/>
        </w:rPr>
      </w:pPr>
    </w:p>
    <w:p>
      <w:pPr>
        <w:jc w:val="both"/>
        <w:spacing w:after="0" w:line="220" w:lineRule="auto"/>
        <w:rPr>
          <w:sz w:val="20"/>
          <w:szCs w:val="20"/>
          <w:color w:val="auto"/>
        </w:rPr>
      </w:pPr>
      <w:r>
        <w:rPr>
          <w:rFonts w:ascii="Arial" w:cs="Arial" w:eastAsia="Arial" w:hAnsi="Arial"/>
          <w:sz w:val="16"/>
          <w:szCs w:val="16"/>
          <w:i w:val="1"/>
          <w:iCs w:val="1"/>
          <w:color w:val="auto"/>
        </w:rPr>
        <w:t>water scarcity and regulations; climate change and legal and regulatory responses thereto; other legal, regulatory and compliance considerations; anti-corruption laws, regulations, and sanction programmes; legal claims against suppliers; litigation and legal proceedings against us; legal changes in our</w:t>
      </w:r>
    </w:p>
    <w:p>
      <w:pPr>
        <w:spacing w:after="0"/>
        <w:rPr>
          <w:sz w:val="20"/>
          <w:szCs w:val="20"/>
          <w:color w:val="auto"/>
        </w:rPr>
      </w:pPr>
      <w:r>
        <w:rPr>
          <w:rFonts w:ascii="Arial" w:cs="Arial" w:eastAsia="Arial" w:hAnsi="Arial"/>
          <w:sz w:val="16"/>
          <w:szCs w:val="16"/>
          <w:i w:val="1"/>
          <w:iCs w:val="1"/>
          <w:color w:val="auto"/>
        </w:rPr>
        <w:t>status; attracting, retaining and motivating employees; our relationship with TCCC and other franchisors; and differing views among our shareholders.</w:t>
      </w:r>
    </w:p>
    <w:p>
      <w:pPr>
        <w:spacing w:after="0" w:line="221" w:lineRule="exact"/>
        <w:rPr>
          <w:sz w:val="20"/>
          <w:szCs w:val="20"/>
          <w:color w:val="auto"/>
        </w:rPr>
      </w:pPr>
    </w:p>
    <w:p>
      <w:pPr>
        <w:ind w:right="200"/>
        <w:spacing w:after="0" w:line="243" w:lineRule="auto"/>
        <w:rPr>
          <w:sz w:val="20"/>
          <w:szCs w:val="20"/>
          <w:color w:val="auto"/>
        </w:rPr>
      </w:pPr>
      <w:r>
        <w:rPr>
          <w:rFonts w:ascii="Arial" w:cs="Arial" w:eastAsia="Arial" w:hAnsi="Arial"/>
          <w:sz w:val="16"/>
          <w:szCs w:val="16"/>
          <w:i w:val="1"/>
          <w:iCs w:val="1"/>
          <w:color w:val="auto"/>
        </w:rPr>
        <w:t>Due to these risks, CCEP’s actual future financial condition, results of operations, and business activities, including its results, dividend payments, capital and leverage ratios, growth, including growth in revenue, cost of sales per unit case and operating profit, free cash flow, market share, tax rate, efficiency savings, achievement of sustainability goals, including net zero emissions and recycling initiatives and capital expenditures, may differ materially from the plans, goals, expectations and guidance set out in forward-looking statements. These risks may also adversely affect CCEP’s share price. CCEP does not undertake any obligation to publicly update or revise any forward-looking statements, whether as a result of new information, future events, or otherwise, except as required under applicable rules, laws and regulations.</w:t>
      </w:r>
    </w:p>
    <w:p>
      <w:pPr>
        <w:sectPr>
          <w:pgSz w:w="11900" w:h="16838" w:orient="portrait"/>
          <w:cols w:equalWidth="0" w:num="1">
            <w:col w:w="11240"/>
          </w:cols>
          <w:pgMar w:left="320" w:top="657" w:right="339" w:bottom="1440" w:gutter="0" w:footer="0" w:header="0"/>
        </w:sectPr>
      </w:pPr>
    </w:p>
    <w:bookmarkStart w:id="6" w:name="page7"/>
    <w:bookmarkEnd w:id="6"/>
    <w:p>
      <w:pPr>
        <w:ind w:left="10560"/>
        <w:spacing w:after="0"/>
        <w:rPr>
          <w:sz w:val="20"/>
          <w:szCs w:val="20"/>
          <w:color w:val="auto"/>
        </w:rPr>
      </w:pPr>
      <w:r>
        <w:rPr>
          <w:rFonts w:ascii="Arial" w:cs="Arial" w:eastAsia="Arial" w:hAnsi="Arial"/>
          <w:sz w:val="14"/>
          <w:szCs w:val="14"/>
          <w:color w:val="F40009"/>
        </w:rPr>
        <w:drawing>
          <wp:anchor simplePos="0" relativeHeight="251657728" behindDoc="1" locked="0" layoutInCell="0" allowOverlap="1">
            <wp:simplePos x="0" y="0"/>
            <wp:positionH relativeFrom="page">
              <wp:posOffset>216535</wp:posOffset>
            </wp:positionH>
            <wp:positionV relativeFrom="page">
              <wp:posOffset>165735</wp:posOffset>
            </wp:positionV>
            <wp:extent cx="1663065" cy="3175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663065" cy="317500"/>
                    </a:xfrm>
                    <a:prstGeom prst="rect">
                      <a:avLst/>
                    </a:prstGeom>
                    <a:noFill/>
                  </pic:spPr>
                </pic:pic>
              </a:graphicData>
            </a:graphic>
          </wp:anchor>
        </w:drawing>
        <w:t xml:space="preserve">P a g e | </w:t>
      </w:r>
      <w:r>
        <w:rPr>
          <w:rFonts w:ascii="Arial" w:cs="Arial" w:eastAsia="Arial" w:hAnsi="Arial"/>
          <w:sz w:val="14"/>
          <w:szCs w:val="14"/>
          <w:b w:val="1"/>
          <w:bCs w:val="1"/>
          <w:color w:val="000000"/>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Supplemental Financial Information - Revenue - Reported to Comparable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8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Revenue CCEP</w:t>
            </w:r>
          </w:p>
        </w:tc>
        <w:tc>
          <w:tcPr>
            <w:tcW w:w="1440" w:type="dxa"/>
            <w:vAlign w:val="bottom"/>
            <w:tcBorders>
              <w:bottom w:val="single" w:sz="8" w:color="CECECE"/>
            </w:tcBorders>
          </w:tcPr>
          <w:p>
            <w:pPr>
              <w:spacing w:after="0"/>
              <w:rPr>
                <w:sz w:val="17"/>
                <w:szCs w:val="17"/>
                <w:color w:val="auto"/>
              </w:rPr>
            </w:pPr>
          </w:p>
        </w:tc>
        <w:tc>
          <w:tcPr>
            <w:tcW w:w="1620" w:type="dxa"/>
            <w:vAlign w:val="bottom"/>
            <w:tcBorders>
              <w:bottom w:val="single" w:sz="8" w:color="CECECE"/>
            </w:tcBorders>
          </w:tcPr>
          <w:p>
            <w:pPr>
              <w:jc w:val="right"/>
              <w:ind w:right="108"/>
              <w:spacing w:after="0"/>
              <w:rPr>
                <w:sz w:val="20"/>
                <w:szCs w:val="20"/>
                <w:color w:val="auto"/>
              </w:rPr>
            </w:pPr>
            <w:r>
              <w:rPr>
                <w:rFonts w:ascii="Arial" w:cs="Arial" w:eastAsia="Arial" w:hAnsi="Arial"/>
                <w:sz w:val="14"/>
                <w:szCs w:val="14"/>
                <w:b w:val="1"/>
                <w:bCs w:val="1"/>
                <w:color w:val="auto"/>
              </w:rPr>
              <w:t>First-Quarter Ended</w:t>
            </w:r>
          </w:p>
        </w:tc>
        <w:tc>
          <w:tcPr>
            <w:tcW w:w="1320" w:type="dxa"/>
            <w:vAlign w:val="bottom"/>
            <w:tcBorders>
              <w:bottom w:val="single" w:sz="8" w:color="CECECE"/>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6860" w:type="dxa"/>
            <w:vAlign w:val="bottom"/>
            <w:vMerge w:val="continue"/>
          </w:tcPr>
          <w:p>
            <w:pPr>
              <w:spacing w:after="0"/>
              <w:rPr>
                <w:sz w:val="5"/>
                <w:szCs w:val="5"/>
                <w:color w:val="auto"/>
              </w:rPr>
            </w:pPr>
          </w:p>
        </w:tc>
        <w:tc>
          <w:tcPr>
            <w:tcW w:w="144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03 April 2026</w:t>
            </w:r>
          </w:p>
        </w:tc>
        <w:tc>
          <w:tcPr>
            <w:tcW w:w="162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28 March 2025</w:t>
            </w:r>
          </w:p>
        </w:tc>
        <w:tc>
          <w:tcPr>
            <w:tcW w:w="132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1"/>
        </w:trPr>
        <w:tc>
          <w:tcPr>
            <w:tcW w:w="6860" w:type="dxa"/>
            <w:vAlign w:val="bottom"/>
          </w:tcPr>
          <w:p>
            <w:pPr>
              <w:ind w:left="20"/>
              <w:spacing w:after="0"/>
              <w:rPr>
                <w:sz w:val="20"/>
                <w:szCs w:val="20"/>
                <w:color w:val="auto"/>
              </w:rPr>
            </w:pPr>
            <w:r>
              <w:rPr>
                <w:rFonts w:ascii="Arial" w:cs="Arial" w:eastAsia="Arial" w:hAnsi="Arial"/>
                <w:sz w:val="13"/>
                <w:szCs w:val="13"/>
                <w:i w:val="1"/>
                <w:iCs w:val="1"/>
                <w:color w:val="auto"/>
                <w:w w:val="97"/>
              </w:rPr>
              <w:t>In millions of € , except per case data which is calculated prior to rounding. FX impact calculated by recasting current year</w:t>
            </w:r>
          </w:p>
        </w:tc>
        <w:tc>
          <w:tcPr>
            <w:tcW w:w="1440" w:type="dxa"/>
            <w:vAlign w:val="bottom"/>
            <w:vMerge w:val="continue"/>
          </w:tcPr>
          <w:p>
            <w:pPr>
              <w:spacing w:after="0"/>
              <w:rPr>
                <w:sz w:val="16"/>
                <w:szCs w:val="16"/>
                <w:color w:val="auto"/>
              </w:rPr>
            </w:pPr>
          </w:p>
        </w:tc>
        <w:tc>
          <w:tcPr>
            <w:tcW w:w="1620" w:type="dxa"/>
            <w:vAlign w:val="bottom"/>
            <w:vMerge w:val="continue"/>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6860" w:type="dxa"/>
            <w:vAlign w:val="bottom"/>
            <w:tcBorders>
              <w:bottom w:val="single" w:sz="8" w:color="F40009"/>
            </w:tcBorders>
          </w:tcPr>
          <w:p>
            <w:pPr>
              <w:ind w:left="20"/>
              <w:spacing w:after="0"/>
              <w:rPr>
                <w:sz w:val="20"/>
                <w:szCs w:val="20"/>
                <w:color w:val="auto"/>
              </w:rPr>
            </w:pPr>
            <w:r>
              <w:rPr>
                <w:rFonts w:ascii="Arial" w:cs="Arial" w:eastAsia="Arial" w:hAnsi="Arial"/>
                <w:sz w:val="13"/>
                <w:szCs w:val="13"/>
                <w:i w:val="1"/>
                <w:iCs w:val="1"/>
                <w:color w:val="auto"/>
              </w:rPr>
              <w:t>results at prior year rates.</w:t>
            </w:r>
          </w:p>
        </w:tc>
        <w:tc>
          <w:tcPr>
            <w:tcW w:w="1440" w:type="dxa"/>
            <w:vAlign w:val="bottom"/>
            <w:tcBorders>
              <w:bottom w:val="single" w:sz="8" w:color="F40009"/>
            </w:tcBorders>
          </w:tcPr>
          <w:p>
            <w:pPr>
              <w:spacing w:after="0"/>
              <w:rPr>
                <w:sz w:val="14"/>
                <w:szCs w:val="14"/>
                <w:color w:val="auto"/>
              </w:rPr>
            </w:pPr>
          </w:p>
        </w:tc>
        <w:tc>
          <w:tcPr>
            <w:tcW w:w="1620" w:type="dxa"/>
            <w:vAlign w:val="bottom"/>
            <w:tcBorders>
              <w:bottom w:val="single" w:sz="8" w:color="F40009"/>
            </w:tcBorders>
          </w:tcPr>
          <w:p>
            <w:pPr>
              <w:spacing w:after="0"/>
              <w:rPr>
                <w:sz w:val="14"/>
                <w:szCs w:val="14"/>
                <w:color w:val="auto"/>
              </w:rPr>
            </w:pPr>
          </w:p>
        </w:tc>
        <w:tc>
          <w:tcPr>
            <w:tcW w:w="1320" w:type="dxa"/>
            <w:vAlign w:val="bottom"/>
            <w:tcBorders>
              <w:bottom w:val="single" w:sz="8" w:color="F40009"/>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86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auto"/>
              </w:rPr>
              <w:t>As reported and comparable</w:t>
            </w:r>
          </w:p>
        </w:tc>
        <w:tc>
          <w:tcPr>
            <w:tcW w:w="1440" w:type="dxa"/>
            <w:vAlign w:val="bottom"/>
            <w:shd w:val="clear" w:color="auto" w:fill="DBDBDB"/>
          </w:tcPr>
          <w:p>
            <w:pPr>
              <w:jc w:val="right"/>
              <w:ind w:right="8"/>
              <w:spacing w:after="0"/>
              <w:rPr>
                <w:sz w:val="20"/>
                <w:szCs w:val="20"/>
                <w:color w:val="auto"/>
              </w:rPr>
            </w:pPr>
            <w:r>
              <w:rPr>
                <w:rFonts w:ascii="Arial" w:cs="Arial" w:eastAsia="Arial" w:hAnsi="Arial"/>
                <w:sz w:val="14"/>
                <w:szCs w:val="14"/>
                <w:b w:val="1"/>
                <w:bCs w:val="1"/>
                <w:color w:val="auto"/>
              </w:rPr>
              <w:t>5,001</w:t>
            </w:r>
          </w:p>
        </w:tc>
        <w:tc>
          <w:tcPr>
            <w:tcW w:w="1620" w:type="dxa"/>
            <w:vAlign w:val="bottom"/>
            <w:shd w:val="clear" w:color="auto" w:fill="DBDBDB"/>
          </w:tcPr>
          <w:p>
            <w:pPr>
              <w:jc w:val="right"/>
              <w:ind w:right="208"/>
              <w:spacing w:after="0"/>
              <w:rPr>
                <w:sz w:val="20"/>
                <w:szCs w:val="20"/>
                <w:color w:val="auto"/>
              </w:rPr>
            </w:pPr>
            <w:r>
              <w:rPr>
                <w:rFonts w:ascii="Arial" w:cs="Arial" w:eastAsia="Arial" w:hAnsi="Arial"/>
                <w:sz w:val="14"/>
                <w:szCs w:val="14"/>
                <w:b w:val="1"/>
                <w:bCs w:val="1"/>
                <w:color w:val="auto"/>
              </w:rPr>
              <w:t>4,689</w:t>
            </w: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6.7 %</w:t>
            </w:r>
          </w:p>
        </w:tc>
        <w:tc>
          <w:tcPr>
            <w:tcW w:w="0" w:type="dxa"/>
            <w:vAlign w:val="bottom"/>
          </w:tcPr>
          <w:p>
            <w:pPr>
              <w:spacing w:after="0"/>
              <w:rPr>
                <w:sz w:val="1"/>
                <w:szCs w:val="1"/>
                <w:color w:val="auto"/>
              </w:rPr>
            </w:pPr>
          </w:p>
        </w:tc>
      </w:tr>
      <w:tr>
        <w:trPr>
          <w:trHeight w:val="198"/>
        </w:trPr>
        <w:tc>
          <w:tcPr>
            <w:tcW w:w="6860" w:type="dxa"/>
            <w:vAlign w:val="bottom"/>
          </w:tcPr>
          <w:p>
            <w:pPr>
              <w:ind w:left="20"/>
              <w:spacing w:after="0"/>
              <w:rPr>
                <w:sz w:val="20"/>
                <w:szCs w:val="20"/>
                <w:color w:val="auto"/>
              </w:rPr>
            </w:pPr>
            <w:r>
              <w:rPr>
                <w:rFonts w:ascii="Arial" w:cs="Arial" w:eastAsia="Arial" w:hAnsi="Arial"/>
                <w:sz w:val="14"/>
                <w:szCs w:val="14"/>
                <w:color w:val="auto"/>
              </w:rPr>
              <w:t>Adjust: Impact of fx changes</w:t>
            </w: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131</w:t>
            </w:r>
          </w:p>
        </w:tc>
        <w:tc>
          <w:tcPr>
            <w:tcW w:w="1620" w:type="dxa"/>
            <w:vAlign w:val="bottom"/>
          </w:tcPr>
          <w:p>
            <w:pPr>
              <w:jc w:val="right"/>
              <w:ind w:right="168"/>
              <w:spacing w:after="0"/>
              <w:rPr>
                <w:sz w:val="20"/>
                <w:szCs w:val="20"/>
                <w:color w:val="auto"/>
              </w:rPr>
            </w:pPr>
            <w:r>
              <w:rPr>
                <w:rFonts w:ascii="Arial" w:cs="Arial" w:eastAsia="Arial" w:hAnsi="Arial"/>
                <w:sz w:val="14"/>
                <w:szCs w:val="14"/>
                <w:color w:val="auto"/>
              </w:rPr>
              <w:t>n/a</w:t>
            </w:r>
          </w:p>
        </w:tc>
        <w:tc>
          <w:tcPr>
            <w:tcW w:w="1320" w:type="dxa"/>
            <w:vAlign w:val="bottom"/>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7"/>
        </w:trPr>
        <w:tc>
          <w:tcPr>
            <w:tcW w:w="686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auto"/>
              </w:rPr>
              <w:t>Comparable and fx-neutral</w:t>
            </w:r>
          </w:p>
        </w:tc>
        <w:tc>
          <w:tcPr>
            <w:tcW w:w="1440" w:type="dxa"/>
            <w:vAlign w:val="bottom"/>
            <w:shd w:val="clear" w:color="auto" w:fill="DBDBDB"/>
          </w:tcPr>
          <w:p>
            <w:pPr>
              <w:jc w:val="right"/>
              <w:ind w:right="8"/>
              <w:spacing w:after="0"/>
              <w:rPr>
                <w:sz w:val="20"/>
                <w:szCs w:val="20"/>
                <w:color w:val="auto"/>
              </w:rPr>
            </w:pPr>
            <w:r>
              <w:rPr>
                <w:rFonts w:ascii="Arial" w:cs="Arial" w:eastAsia="Arial" w:hAnsi="Arial"/>
                <w:sz w:val="14"/>
                <w:szCs w:val="14"/>
                <w:b w:val="1"/>
                <w:bCs w:val="1"/>
                <w:color w:val="auto"/>
              </w:rPr>
              <w:t>5,132</w:t>
            </w:r>
          </w:p>
        </w:tc>
        <w:tc>
          <w:tcPr>
            <w:tcW w:w="1620" w:type="dxa"/>
            <w:vAlign w:val="bottom"/>
            <w:shd w:val="clear" w:color="auto" w:fill="DBDBDB"/>
          </w:tcPr>
          <w:p>
            <w:pPr>
              <w:jc w:val="right"/>
              <w:ind w:right="208"/>
              <w:spacing w:after="0"/>
              <w:rPr>
                <w:sz w:val="20"/>
                <w:szCs w:val="20"/>
                <w:color w:val="auto"/>
              </w:rPr>
            </w:pPr>
            <w:r>
              <w:rPr>
                <w:rFonts w:ascii="Arial" w:cs="Arial" w:eastAsia="Arial" w:hAnsi="Arial"/>
                <w:sz w:val="14"/>
                <w:szCs w:val="14"/>
                <w:b w:val="1"/>
                <w:bCs w:val="1"/>
                <w:color w:val="auto"/>
              </w:rPr>
              <w:t>4,689</w:t>
            </w: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9.4 %</w:t>
            </w:r>
          </w:p>
        </w:tc>
        <w:tc>
          <w:tcPr>
            <w:tcW w:w="0" w:type="dxa"/>
            <w:vAlign w:val="bottom"/>
          </w:tcPr>
          <w:p>
            <w:pPr>
              <w:spacing w:after="0"/>
              <w:rPr>
                <w:sz w:val="1"/>
                <w:szCs w:val="1"/>
                <w:color w:val="auto"/>
              </w:rPr>
            </w:pPr>
          </w:p>
        </w:tc>
      </w:tr>
      <w:tr>
        <w:trPr>
          <w:trHeight w:val="54"/>
        </w:trPr>
        <w:tc>
          <w:tcPr>
            <w:tcW w:w="68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686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auto"/>
              </w:rPr>
              <w:t>Revenue per unit case</w:t>
            </w:r>
          </w:p>
        </w:tc>
        <w:tc>
          <w:tcPr>
            <w:tcW w:w="1440" w:type="dxa"/>
            <w:vAlign w:val="bottom"/>
            <w:shd w:val="clear" w:color="auto" w:fill="DBDBDB"/>
          </w:tcPr>
          <w:p>
            <w:pPr>
              <w:jc w:val="right"/>
              <w:ind w:right="8"/>
              <w:spacing w:after="0"/>
              <w:rPr>
                <w:sz w:val="20"/>
                <w:szCs w:val="20"/>
                <w:color w:val="auto"/>
              </w:rPr>
            </w:pPr>
            <w:r>
              <w:rPr>
                <w:rFonts w:ascii="Arial" w:cs="Arial" w:eastAsia="Arial" w:hAnsi="Arial"/>
                <w:sz w:val="14"/>
                <w:szCs w:val="14"/>
                <w:b w:val="1"/>
                <w:bCs w:val="1"/>
                <w:color w:val="auto"/>
              </w:rPr>
              <w:t>5.29</w:t>
            </w:r>
          </w:p>
        </w:tc>
        <w:tc>
          <w:tcPr>
            <w:tcW w:w="1620" w:type="dxa"/>
            <w:vAlign w:val="bottom"/>
            <w:shd w:val="clear" w:color="auto" w:fill="DBDBDB"/>
          </w:tcPr>
          <w:p>
            <w:pPr>
              <w:jc w:val="right"/>
              <w:ind w:right="208"/>
              <w:spacing w:after="0"/>
              <w:rPr>
                <w:sz w:val="20"/>
                <w:szCs w:val="20"/>
                <w:color w:val="auto"/>
              </w:rPr>
            </w:pPr>
            <w:r>
              <w:rPr>
                <w:rFonts w:ascii="Arial" w:cs="Arial" w:eastAsia="Arial" w:hAnsi="Arial"/>
                <w:sz w:val="14"/>
                <w:szCs w:val="14"/>
                <w:b w:val="1"/>
                <w:bCs w:val="1"/>
                <w:color w:val="auto"/>
              </w:rPr>
              <w:t>5.25</w:t>
            </w: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0.8 %</w:t>
            </w:r>
          </w:p>
        </w:tc>
        <w:tc>
          <w:tcPr>
            <w:tcW w:w="0" w:type="dxa"/>
            <w:vAlign w:val="bottom"/>
          </w:tcPr>
          <w:p>
            <w:pPr>
              <w:spacing w:after="0"/>
              <w:rPr>
                <w:sz w:val="1"/>
                <w:szCs w:val="1"/>
                <w:color w:val="auto"/>
              </w:rPr>
            </w:pPr>
          </w:p>
        </w:tc>
      </w:tr>
      <w:tr>
        <w:trPr>
          <w:trHeight w:val="565"/>
        </w:trPr>
        <w:tc>
          <w:tcPr>
            <w:tcW w:w="6860" w:type="dxa"/>
            <w:vAlign w:val="bottom"/>
          </w:tcPr>
          <w:p>
            <w:pPr>
              <w:ind w:left="20"/>
              <w:spacing w:after="0"/>
              <w:rPr>
                <w:sz w:val="20"/>
                <w:szCs w:val="20"/>
                <w:color w:val="auto"/>
              </w:rPr>
            </w:pPr>
            <w:r>
              <w:rPr>
                <w:rFonts w:ascii="Arial" w:cs="Arial" w:eastAsia="Arial" w:hAnsi="Arial"/>
                <w:sz w:val="14"/>
                <w:szCs w:val="14"/>
                <w:b w:val="1"/>
                <w:bCs w:val="1"/>
                <w:color w:val="auto"/>
              </w:rPr>
              <w:t>Revenue Europe</w:t>
            </w:r>
          </w:p>
        </w:tc>
        <w:tc>
          <w:tcPr>
            <w:tcW w:w="14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6860" w:type="dxa"/>
            <w:vAlign w:val="bottom"/>
            <w:tcBorders>
              <w:bottom w:val="single" w:sz="8" w:color="F40009"/>
            </w:tcBorders>
          </w:tcPr>
          <w:p>
            <w:pPr>
              <w:spacing w:after="0"/>
              <w:rPr>
                <w:sz w:val="9"/>
                <w:szCs w:val="9"/>
                <w:color w:val="auto"/>
              </w:rPr>
            </w:pPr>
          </w:p>
        </w:tc>
        <w:tc>
          <w:tcPr>
            <w:tcW w:w="1440" w:type="dxa"/>
            <w:vAlign w:val="bottom"/>
            <w:tcBorders>
              <w:bottom w:val="single" w:sz="8" w:color="F40009"/>
            </w:tcBorders>
          </w:tcPr>
          <w:p>
            <w:pPr>
              <w:spacing w:after="0"/>
              <w:rPr>
                <w:sz w:val="9"/>
                <w:szCs w:val="9"/>
                <w:color w:val="auto"/>
              </w:rPr>
            </w:pPr>
          </w:p>
        </w:tc>
        <w:tc>
          <w:tcPr>
            <w:tcW w:w="1620" w:type="dxa"/>
            <w:vAlign w:val="bottom"/>
            <w:tcBorders>
              <w:bottom w:val="single" w:sz="8" w:color="F40009"/>
            </w:tcBorders>
          </w:tcPr>
          <w:p>
            <w:pPr>
              <w:spacing w:after="0"/>
              <w:rPr>
                <w:sz w:val="9"/>
                <w:szCs w:val="9"/>
                <w:color w:val="auto"/>
              </w:rPr>
            </w:pPr>
          </w:p>
        </w:tc>
        <w:tc>
          <w:tcPr>
            <w:tcW w:w="1320" w:type="dxa"/>
            <w:vAlign w:val="bottom"/>
            <w:tcBorders>
              <w:bottom w:val="single" w:sz="8" w:color="F40009"/>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686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auto"/>
              </w:rPr>
              <w:t>As reported and comparable</w:t>
            </w:r>
          </w:p>
        </w:tc>
        <w:tc>
          <w:tcPr>
            <w:tcW w:w="1440" w:type="dxa"/>
            <w:vAlign w:val="bottom"/>
            <w:shd w:val="clear" w:color="auto" w:fill="DBDBDB"/>
          </w:tcPr>
          <w:p>
            <w:pPr>
              <w:jc w:val="right"/>
              <w:ind w:right="8"/>
              <w:spacing w:after="0"/>
              <w:rPr>
                <w:sz w:val="20"/>
                <w:szCs w:val="20"/>
                <w:color w:val="auto"/>
              </w:rPr>
            </w:pPr>
            <w:r>
              <w:rPr>
                <w:rFonts w:ascii="Arial" w:cs="Arial" w:eastAsia="Arial" w:hAnsi="Arial"/>
                <w:sz w:val="14"/>
                <w:szCs w:val="14"/>
                <w:b w:val="1"/>
                <w:bCs w:val="1"/>
                <w:color w:val="auto"/>
              </w:rPr>
              <w:t>3,549</w:t>
            </w:r>
          </w:p>
        </w:tc>
        <w:tc>
          <w:tcPr>
            <w:tcW w:w="1620" w:type="dxa"/>
            <w:vAlign w:val="bottom"/>
            <w:shd w:val="clear" w:color="auto" w:fill="DBDBDB"/>
          </w:tcPr>
          <w:p>
            <w:pPr>
              <w:jc w:val="right"/>
              <w:ind w:right="208"/>
              <w:spacing w:after="0"/>
              <w:rPr>
                <w:sz w:val="20"/>
                <w:szCs w:val="20"/>
                <w:color w:val="auto"/>
              </w:rPr>
            </w:pPr>
            <w:r>
              <w:rPr>
                <w:rFonts w:ascii="Arial" w:cs="Arial" w:eastAsia="Arial" w:hAnsi="Arial"/>
                <w:sz w:val="14"/>
                <w:szCs w:val="14"/>
                <w:b w:val="1"/>
                <w:bCs w:val="1"/>
                <w:color w:val="auto"/>
              </w:rPr>
              <w:t>3,253</w:t>
            </w: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9.1 %</w:t>
            </w:r>
          </w:p>
        </w:tc>
        <w:tc>
          <w:tcPr>
            <w:tcW w:w="0" w:type="dxa"/>
            <w:vAlign w:val="bottom"/>
          </w:tcPr>
          <w:p>
            <w:pPr>
              <w:spacing w:after="0"/>
              <w:rPr>
                <w:sz w:val="1"/>
                <w:szCs w:val="1"/>
                <w:color w:val="auto"/>
              </w:rPr>
            </w:pPr>
          </w:p>
        </w:tc>
      </w:tr>
      <w:tr>
        <w:trPr>
          <w:trHeight w:val="199"/>
        </w:trPr>
        <w:tc>
          <w:tcPr>
            <w:tcW w:w="6860" w:type="dxa"/>
            <w:vAlign w:val="bottom"/>
          </w:tcPr>
          <w:p>
            <w:pPr>
              <w:ind w:left="20"/>
              <w:spacing w:after="0"/>
              <w:rPr>
                <w:sz w:val="20"/>
                <w:szCs w:val="20"/>
                <w:color w:val="auto"/>
              </w:rPr>
            </w:pPr>
            <w:r>
              <w:rPr>
                <w:rFonts w:ascii="Arial" w:cs="Arial" w:eastAsia="Arial" w:hAnsi="Arial"/>
                <w:sz w:val="14"/>
                <w:szCs w:val="14"/>
                <w:color w:val="auto"/>
              </w:rPr>
              <w:t>Adjust: Impact of fx changes</w:t>
            </w: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24</w:t>
            </w:r>
          </w:p>
        </w:tc>
        <w:tc>
          <w:tcPr>
            <w:tcW w:w="1620" w:type="dxa"/>
            <w:vAlign w:val="bottom"/>
          </w:tcPr>
          <w:p>
            <w:pPr>
              <w:jc w:val="right"/>
              <w:ind w:right="168"/>
              <w:spacing w:after="0"/>
              <w:rPr>
                <w:sz w:val="20"/>
                <w:szCs w:val="20"/>
                <w:color w:val="auto"/>
              </w:rPr>
            </w:pPr>
            <w:r>
              <w:rPr>
                <w:rFonts w:ascii="Arial" w:cs="Arial" w:eastAsia="Arial" w:hAnsi="Arial"/>
                <w:sz w:val="14"/>
                <w:szCs w:val="14"/>
                <w:color w:val="auto"/>
              </w:rPr>
              <w:t>n/a</w:t>
            </w:r>
          </w:p>
        </w:tc>
        <w:tc>
          <w:tcPr>
            <w:tcW w:w="1320" w:type="dxa"/>
            <w:vAlign w:val="bottom"/>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6"/>
        </w:trPr>
        <w:tc>
          <w:tcPr>
            <w:tcW w:w="686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auto"/>
              </w:rPr>
              <w:t>Comparable and fx-neutral</w:t>
            </w:r>
          </w:p>
        </w:tc>
        <w:tc>
          <w:tcPr>
            <w:tcW w:w="1440" w:type="dxa"/>
            <w:vAlign w:val="bottom"/>
            <w:shd w:val="clear" w:color="auto" w:fill="DBDBDB"/>
          </w:tcPr>
          <w:p>
            <w:pPr>
              <w:jc w:val="right"/>
              <w:ind w:right="8"/>
              <w:spacing w:after="0"/>
              <w:rPr>
                <w:sz w:val="20"/>
                <w:szCs w:val="20"/>
                <w:color w:val="auto"/>
              </w:rPr>
            </w:pPr>
            <w:r>
              <w:rPr>
                <w:rFonts w:ascii="Arial" w:cs="Arial" w:eastAsia="Arial" w:hAnsi="Arial"/>
                <w:sz w:val="14"/>
                <w:szCs w:val="14"/>
                <w:b w:val="1"/>
                <w:bCs w:val="1"/>
                <w:color w:val="auto"/>
              </w:rPr>
              <w:t>3,573</w:t>
            </w:r>
          </w:p>
        </w:tc>
        <w:tc>
          <w:tcPr>
            <w:tcW w:w="1620" w:type="dxa"/>
            <w:vAlign w:val="bottom"/>
            <w:shd w:val="clear" w:color="auto" w:fill="DBDBDB"/>
          </w:tcPr>
          <w:p>
            <w:pPr>
              <w:jc w:val="right"/>
              <w:ind w:right="208"/>
              <w:spacing w:after="0"/>
              <w:rPr>
                <w:sz w:val="20"/>
                <w:szCs w:val="20"/>
                <w:color w:val="auto"/>
              </w:rPr>
            </w:pPr>
            <w:r>
              <w:rPr>
                <w:rFonts w:ascii="Arial" w:cs="Arial" w:eastAsia="Arial" w:hAnsi="Arial"/>
                <w:sz w:val="14"/>
                <w:szCs w:val="14"/>
                <w:b w:val="1"/>
                <w:bCs w:val="1"/>
                <w:color w:val="auto"/>
              </w:rPr>
              <w:t>3,253</w:t>
            </w: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9.8 %</w:t>
            </w:r>
          </w:p>
        </w:tc>
        <w:tc>
          <w:tcPr>
            <w:tcW w:w="0" w:type="dxa"/>
            <w:vAlign w:val="bottom"/>
          </w:tcPr>
          <w:p>
            <w:pPr>
              <w:spacing w:after="0"/>
              <w:rPr>
                <w:sz w:val="1"/>
                <w:szCs w:val="1"/>
                <w:color w:val="auto"/>
              </w:rPr>
            </w:pPr>
          </w:p>
        </w:tc>
      </w:tr>
      <w:tr>
        <w:trPr>
          <w:trHeight w:val="54"/>
        </w:trPr>
        <w:tc>
          <w:tcPr>
            <w:tcW w:w="68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686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auto"/>
              </w:rPr>
              <w:t>Revenue per unit case</w:t>
            </w:r>
          </w:p>
        </w:tc>
        <w:tc>
          <w:tcPr>
            <w:tcW w:w="1440" w:type="dxa"/>
            <w:vAlign w:val="bottom"/>
            <w:shd w:val="clear" w:color="auto" w:fill="DBDBDB"/>
          </w:tcPr>
          <w:p>
            <w:pPr>
              <w:jc w:val="right"/>
              <w:ind w:right="8"/>
              <w:spacing w:after="0"/>
              <w:rPr>
                <w:sz w:val="20"/>
                <w:szCs w:val="20"/>
                <w:color w:val="auto"/>
              </w:rPr>
            </w:pPr>
            <w:r>
              <w:rPr>
                <w:rFonts w:ascii="Arial" w:cs="Arial" w:eastAsia="Arial" w:hAnsi="Arial"/>
                <w:sz w:val="14"/>
                <w:szCs w:val="14"/>
                <w:b w:val="1"/>
                <w:bCs w:val="1"/>
                <w:color w:val="auto"/>
              </w:rPr>
              <w:t>6.00</w:t>
            </w:r>
          </w:p>
        </w:tc>
        <w:tc>
          <w:tcPr>
            <w:tcW w:w="1620" w:type="dxa"/>
            <w:vAlign w:val="bottom"/>
            <w:shd w:val="clear" w:color="auto" w:fill="DBDBDB"/>
          </w:tcPr>
          <w:p>
            <w:pPr>
              <w:jc w:val="right"/>
              <w:ind w:right="208"/>
              <w:spacing w:after="0"/>
              <w:rPr>
                <w:sz w:val="20"/>
                <w:szCs w:val="20"/>
                <w:color w:val="auto"/>
              </w:rPr>
            </w:pPr>
            <w:r>
              <w:rPr>
                <w:rFonts w:ascii="Arial" w:cs="Arial" w:eastAsia="Arial" w:hAnsi="Arial"/>
                <w:sz w:val="14"/>
                <w:szCs w:val="14"/>
                <w:b w:val="1"/>
                <w:bCs w:val="1"/>
                <w:color w:val="auto"/>
              </w:rPr>
              <w:t>5.92</w:t>
            </w: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1.3 %</w:t>
            </w:r>
          </w:p>
        </w:tc>
        <w:tc>
          <w:tcPr>
            <w:tcW w:w="0" w:type="dxa"/>
            <w:vAlign w:val="bottom"/>
          </w:tcPr>
          <w:p>
            <w:pPr>
              <w:spacing w:after="0"/>
              <w:rPr>
                <w:sz w:val="1"/>
                <w:szCs w:val="1"/>
                <w:color w:val="auto"/>
              </w:rPr>
            </w:pPr>
          </w:p>
        </w:tc>
      </w:tr>
      <w:tr>
        <w:trPr>
          <w:trHeight w:val="565"/>
        </w:trPr>
        <w:tc>
          <w:tcPr>
            <w:tcW w:w="6860" w:type="dxa"/>
            <w:vAlign w:val="bottom"/>
          </w:tcPr>
          <w:p>
            <w:pPr>
              <w:ind w:left="20"/>
              <w:spacing w:after="0"/>
              <w:rPr>
                <w:sz w:val="20"/>
                <w:szCs w:val="20"/>
                <w:color w:val="auto"/>
              </w:rPr>
            </w:pPr>
            <w:r>
              <w:rPr>
                <w:rFonts w:ascii="Arial" w:cs="Arial" w:eastAsia="Arial" w:hAnsi="Arial"/>
                <w:sz w:val="14"/>
                <w:szCs w:val="14"/>
                <w:b w:val="1"/>
                <w:bCs w:val="1"/>
                <w:color w:val="auto"/>
              </w:rPr>
              <w:t>Revenue APS</w:t>
            </w:r>
          </w:p>
        </w:tc>
        <w:tc>
          <w:tcPr>
            <w:tcW w:w="14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6860" w:type="dxa"/>
            <w:vAlign w:val="bottom"/>
            <w:tcBorders>
              <w:bottom w:val="single" w:sz="8" w:color="F40009"/>
            </w:tcBorders>
          </w:tcPr>
          <w:p>
            <w:pPr>
              <w:spacing w:after="0"/>
              <w:rPr>
                <w:sz w:val="9"/>
                <w:szCs w:val="9"/>
                <w:color w:val="auto"/>
              </w:rPr>
            </w:pPr>
          </w:p>
        </w:tc>
        <w:tc>
          <w:tcPr>
            <w:tcW w:w="1440" w:type="dxa"/>
            <w:vAlign w:val="bottom"/>
            <w:tcBorders>
              <w:bottom w:val="single" w:sz="8" w:color="F40009"/>
            </w:tcBorders>
          </w:tcPr>
          <w:p>
            <w:pPr>
              <w:spacing w:after="0"/>
              <w:rPr>
                <w:sz w:val="9"/>
                <w:szCs w:val="9"/>
                <w:color w:val="auto"/>
              </w:rPr>
            </w:pPr>
          </w:p>
        </w:tc>
        <w:tc>
          <w:tcPr>
            <w:tcW w:w="1620" w:type="dxa"/>
            <w:vAlign w:val="bottom"/>
            <w:tcBorders>
              <w:bottom w:val="single" w:sz="8" w:color="F40009"/>
            </w:tcBorders>
          </w:tcPr>
          <w:p>
            <w:pPr>
              <w:spacing w:after="0"/>
              <w:rPr>
                <w:sz w:val="9"/>
                <w:szCs w:val="9"/>
                <w:color w:val="auto"/>
              </w:rPr>
            </w:pPr>
          </w:p>
        </w:tc>
        <w:tc>
          <w:tcPr>
            <w:tcW w:w="1320" w:type="dxa"/>
            <w:vAlign w:val="bottom"/>
            <w:tcBorders>
              <w:bottom w:val="single" w:sz="8" w:color="F40009"/>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686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auto"/>
              </w:rPr>
              <w:t>As reported and comparable</w:t>
            </w:r>
          </w:p>
        </w:tc>
        <w:tc>
          <w:tcPr>
            <w:tcW w:w="1440" w:type="dxa"/>
            <w:vAlign w:val="bottom"/>
            <w:shd w:val="clear" w:color="auto" w:fill="DBDBDB"/>
          </w:tcPr>
          <w:p>
            <w:pPr>
              <w:jc w:val="right"/>
              <w:ind w:right="8"/>
              <w:spacing w:after="0"/>
              <w:rPr>
                <w:sz w:val="20"/>
                <w:szCs w:val="20"/>
                <w:color w:val="auto"/>
              </w:rPr>
            </w:pPr>
            <w:r>
              <w:rPr>
                <w:rFonts w:ascii="Arial" w:cs="Arial" w:eastAsia="Arial" w:hAnsi="Arial"/>
                <w:sz w:val="14"/>
                <w:szCs w:val="14"/>
                <w:b w:val="1"/>
                <w:bCs w:val="1"/>
                <w:color w:val="auto"/>
              </w:rPr>
              <w:t>1,452</w:t>
            </w:r>
          </w:p>
        </w:tc>
        <w:tc>
          <w:tcPr>
            <w:tcW w:w="1620" w:type="dxa"/>
            <w:vAlign w:val="bottom"/>
            <w:shd w:val="clear" w:color="auto" w:fill="DBDBDB"/>
          </w:tcPr>
          <w:p>
            <w:pPr>
              <w:jc w:val="right"/>
              <w:ind w:right="208"/>
              <w:spacing w:after="0"/>
              <w:rPr>
                <w:sz w:val="20"/>
                <w:szCs w:val="20"/>
                <w:color w:val="auto"/>
              </w:rPr>
            </w:pPr>
            <w:r>
              <w:rPr>
                <w:rFonts w:ascii="Arial" w:cs="Arial" w:eastAsia="Arial" w:hAnsi="Arial"/>
                <w:sz w:val="14"/>
                <w:szCs w:val="14"/>
                <w:b w:val="1"/>
                <w:bCs w:val="1"/>
                <w:color w:val="auto"/>
              </w:rPr>
              <w:t>1,436</w:t>
            </w: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1.1 %</w:t>
            </w:r>
          </w:p>
        </w:tc>
        <w:tc>
          <w:tcPr>
            <w:tcW w:w="0" w:type="dxa"/>
            <w:vAlign w:val="bottom"/>
          </w:tcPr>
          <w:p>
            <w:pPr>
              <w:spacing w:after="0"/>
              <w:rPr>
                <w:sz w:val="1"/>
                <w:szCs w:val="1"/>
                <w:color w:val="auto"/>
              </w:rPr>
            </w:pPr>
          </w:p>
        </w:tc>
      </w:tr>
      <w:tr>
        <w:trPr>
          <w:trHeight w:val="198"/>
        </w:trPr>
        <w:tc>
          <w:tcPr>
            <w:tcW w:w="6860" w:type="dxa"/>
            <w:vAlign w:val="bottom"/>
          </w:tcPr>
          <w:p>
            <w:pPr>
              <w:ind w:left="20"/>
              <w:spacing w:after="0"/>
              <w:rPr>
                <w:sz w:val="20"/>
                <w:szCs w:val="20"/>
                <w:color w:val="auto"/>
              </w:rPr>
            </w:pPr>
            <w:r>
              <w:rPr>
                <w:rFonts w:ascii="Arial" w:cs="Arial" w:eastAsia="Arial" w:hAnsi="Arial"/>
                <w:sz w:val="14"/>
                <w:szCs w:val="14"/>
                <w:color w:val="auto"/>
              </w:rPr>
              <w:t>Adjust: Impact of fx changes</w:t>
            </w: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107</w:t>
            </w:r>
          </w:p>
        </w:tc>
        <w:tc>
          <w:tcPr>
            <w:tcW w:w="1620" w:type="dxa"/>
            <w:vAlign w:val="bottom"/>
          </w:tcPr>
          <w:p>
            <w:pPr>
              <w:jc w:val="right"/>
              <w:ind w:right="168"/>
              <w:spacing w:after="0"/>
              <w:rPr>
                <w:sz w:val="20"/>
                <w:szCs w:val="20"/>
                <w:color w:val="auto"/>
              </w:rPr>
            </w:pPr>
            <w:r>
              <w:rPr>
                <w:rFonts w:ascii="Arial" w:cs="Arial" w:eastAsia="Arial" w:hAnsi="Arial"/>
                <w:sz w:val="14"/>
                <w:szCs w:val="14"/>
                <w:color w:val="auto"/>
              </w:rPr>
              <w:t>n/a</w:t>
            </w:r>
          </w:p>
        </w:tc>
        <w:tc>
          <w:tcPr>
            <w:tcW w:w="1320" w:type="dxa"/>
            <w:vAlign w:val="bottom"/>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6"/>
        </w:trPr>
        <w:tc>
          <w:tcPr>
            <w:tcW w:w="686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auto"/>
              </w:rPr>
              <w:t>Comparable and fx-neutral</w:t>
            </w:r>
          </w:p>
        </w:tc>
        <w:tc>
          <w:tcPr>
            <w:tcW w:w="1440" w:type="dxa"/>
            <w:vAlign w:val="bottom"/>
            <w:shd w:val="clear" w:color="auto" w:fill="DBDBDB"/>
          </w:tcPr>
          <w:p>
            <w:pPr>
              <w:jc w:val="right"/>
              <w:ind w:right="8"/>
              <w:spacing w:after="0"/>
              <w:rPr>
                <w:sz w:val="20"/>
                <w:szCs w:val="20"/>
                <w:color w:val="auto"/>
              </w:rPr>
            </w:pPr>
            <w:r>
              <w:rPr>
                <w:rFonts w:ascii="Arial" w:cs="Arial" w:eastAsia="Arial" w:hAnsi="Arial"/>
                <w:sz w:val="14"/>
                <w:szCs w:val="14"/>
                <w:b w:val="1"/>
                <w:bCs w:val="1"/>
                <w:color w:val="auto"/>
              </w:rPr>
              <w:t>1,559</w:t>
            </w:r>
          </w:p>
        </w:tc>
        <w:tc>
          <w:tcPr>
            <w:tcW w:w="1620" w:type="dxa"/>
            <w:vAlign w:val="bottom"/>
            <w:shd w:val="clear" w:color="auto" w:fill="DBDBDB"/>
          </w:tcPr>
          <w:p>
            <w:pPr>
              <w:jc w:val="right"/>
              <w:ind w:right="208"/>
              <w:spacing w:after="0"/>
              <w:rPr>
                <w:sz w:val="20"/>
                <w:szCs w:val="20"/>
                <w:color w:val="auto"/>
              </w:rPr>
            </w:pPr>
            <w:r>
              <w:rPr>
                <w:rFonts w:ascii="Arial" w:cs="Arial" w:eastAsia="Arial" w:hAnsi="Arial"/>
                <w:sz w:val="14"/>
                <w:szCs w:val="14"/>
                <w:b w:val="1"/>
                <w:bCs w:val="1"/>
                <w:color w:val="auto"/>
              </w:rPr>
              <w:t>1,436</w:t>
            </w: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8.6 %</w:t>
            </w:r>
          </w:p>
        </w:tc>
        <w:tc>
          <w:tcPr>
            <w:tcW w:w="0" w:type="dxa"/>
            <w:vAlign w:val="bottom"/>
          </w:tcPr>
          <w:p>
            <w:pPr>
              <w:spacing w:after="0"/>
              <w:rPr>
                <w:sz w:val="1"/>
                <w:szCs w:val="1"/>
                <w:color w:val="auto"/>
              </w:rPr>
            </w:pPr>
          </w:p>
        </w:tc>
      </w:tr>
      <w:tr>
        <w:trPr>
          <w:trHeight w:val="54"/>
        </w:trPr>
        <w:tc>
          <w:tcPr>
            <w:tcW w:w="68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686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auto"/>
              </w:rPr>
              <w:t>Revenue per unit case</w:t>
            </w:r>
          </w:p>
        </w:tc>
        <w:tc>
          <w:tcPr>
            <w:tcW w:w="1440" w:type="dxa"/>
            <w:vAlign w:val="bottom"/>
            <w:shd w:val="clear" w:color="auto" w:fill="DBDBDB"/>
          </w:tcPr>
          <w:p>
            <w:pPr>
              <w:jc w:val="right"/>
              <w:ind w:right="8"/>
              <w:spacing w:after="0"/>
              <w:rPr>
                <w:sz w:val="20"/>
                <w:szCs w:val="20"/>
                <w:color w:val="auto"/>
              </w:rPr>
            </w:pPr>
            <w:r>
              <w:rPr>
                <w:rFonts w:ascii="Arial" w:cs="Arial" w:eastAsia="Arial" w:hAnsi="Arial"/>
                <w:sz w:val="14"/>
                <w:szCs w:val="14"/>
                <w:b w:val="1"/>
                <w:bCs w:val="1"/>
                <w:color w:val="auto"/>
              </w:rPr>
              <w:t>4.17</w:t>
            </w:r>
          </w:p>
        </w:tc>
        <w:tc>
          <w:tcPr>
            <w:tcW w:w="1620" w:type="dxa"/>
            <w:vAlign w:val="bottom"/>
            <w:shd w:val="clear" w:color="auto" w:fill="DBDBDB"/>
          </w:tcPr>
          <w:p>
            <w:pPr>
              <w:jc w:val="right"/>
              <w:ind w:right="208"/>
              <w:spacing w:after="0"/>
              <w:rPr>
                <w:sz w:val="20"/>
                <w:szCs w:val="20"/>
                <w:color w:val="auto"/>
              </w:rPr>
            </w:pPr>
            <w:r>
              <w:rPr>
                <w:rFonts w:ascii="Arial" w:cs="Arial" w:eastAsia="Arial" w:hAnsi="Arial"/>
                <w:sz w:val="14"/>
                <w:szCs w:val="14"/>
                <w:b w:val="1"/>
                <w:bCs w:val="1"/>
                <w:color w:val="auto"/>
              </w:rPr>
              <w:t>4.18</w:t>
            </w: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(0.3)%</w:t>
            </w:r>
          </w:p>
        </w:tc>
        <w:tc>
          <w:tcPr>
            <w:tcW w:w="0" w:type="dxa"/>
            <w:vAlign w:val="bottom"/>
          </w:tcPr>
          <w:p>
            <w:pPr>
              <w:spacing w:after="0"/>
              <w:rPr>
                <w:sz w:val="1"/>
                <w:szCs w:val="1"/>
                <w:color w:val="auto"/>
              </w:rPr>
            </w:pPr>
          </w:p>
        </w:tc>
      </w:tr>
      <w:tr>
        <w:trPr>
          <w:trHeight w:val="533"/>
        </w:trPr>
        <w:tc>
          <w:tcPr>
            <w:tcW w:w="6860" w:type="dxa"/>
            <w:vAlign w:val="bottom"/>
          </w:tcPr>
          <w:p>
            <w:pPr>
              <w:spacing w:after="0"/>
              <w:rPr>
                <w:sz w:val="20"/>
                <w:szCs w:val="20"/>
                <w:color w:val="auto"/>
              </w:rPr>
            </w:pPr>
            <w:r>
              <w:rPr>
                <w:rFonts w:ascii="Arial" w:cs="Arial" w:eastAsia="Arial" w:hAnsi="Arial"/>
                <w:sz w:val="16"/>
                <w:szCs w:val="16"/>
                <w:b w:val="1"/>
                <w:bCs w:val="1"/>
                <w:color w:val="auto"/>
              </w:rPr>
              <w:t>Volume</w:t>
            </w:r>
          </w:p>
        </w:tc>
        <w:tc>
          <w:tcPr>
            <w:tcW w:w="14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860" w:type="dxa"/>
            <w:vAlign w:val="bottom"/>
          </w:tcPr>
          <w:p>
            <w:pPr>
              <w:ind w:left="20"/>
              <w:spacing w:after="0"/>
              <w:rPr>
                <w:sz w:val="20"/>
                <w:szCs w:val="20"/>
                <w:color w:val="auto"/>
              </w:rPr>
            </w:pPr>
            <w:r>
              <w:rPr>
                <w:rFonts w:ascii="Arial" w:cs="Arial" w:eastAsia="Arial" w:hAnsi="Arial"/>
                <w:sz w:val="14"/>
                <w:szCs w:val="14"/>
                <w:b w:val="1"/>
                <w:bCs w:val="1"/>
                <w:color w:val="auto"/>
              </w:rPr>
              <w:t>Comparable Volume - Consumption Day Shift CCEP</w:t>
            </w:r>
          </w:p>
        </w:tc>
        <w:tc>
          <w:tcPr>
            <w:tcW w:w="1440" w:type="dxa"/>
            <w:vAlign w:val="bottom"/>
            <w:tcBorders>
              <w:bottom w:val="single" w:sz="8" w:color="CECECE"/>
            </w:tcBorders>
          </w:tcPr>
          <w:p>
            <w:pPr>
              <w:spacing w:after="0"/>
              <w:rPr>
                <w:sz w:val="24"/>
                <w:szCs w:val="24"/>
                <w:color w:val="auto"/>
              </w:rPr>
            </w:pPr>
          </w:p>
        </w:tc>
        <w:tc>
          <w:tcPr>
            <w:tcW w:w="1620" w:type="dxa"/>
            <w:vAlign w:val="bottom"/>
            <w:tcBorders>
              <w:bottom w:val="single" w:sz="8" w:color="CECECE"/>
            </w:tcBorders>
          </w:tcPr>
          <w:p>
            <w:pPr>
              <w:jc w:val="right"/>
              <w:ind w:right="108"/>
              <w:spacing w:after="0"/>
              <w:rPr>
                <w:sz w:val="20"/>
                <w:szCs w:val="20"/>
                <w:color w:val="auto"/>
              </w:rPr>
            </w:pPr>
            <w:r>
              <w:rPr>
                <w:rFonts w:ascii="Arial" w:cs="Arial" w:eastAsia="Arial" w:hAnsi="Arial"/>
                <w:sz w:val="14"/>
                <w:szCs w:val="14"/>
                <w:b w:val="1"/>
                <w:bCs w:val="1"/>
                <w:color w:val="auto"/>
              </w:rPr>
              <w:t>First-Quarter Ended</w:t>
            </w:r>
          </w:p>
        </w:tc>
        <w:tc>
          <w:tcPr>
            <w:tcW w:w="1320" w:type="dxa"/>
            <w:vAlign w:val="bottom"/>
            <w:tcBorders>
              <w:bottom w:val="single" w:sz="8" w:color="CECECE"/>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6860" w:type="dxa"/>
            <w:vAlign w:val="bottom"/>
            <w:vMerge w:val="restart"/>
          </w:tcPr>
          <w:p>
            <w:pPr>
              <w:ind w:left="20"/>
              <w:spacing w:after="0"/>
              <w:rPr>
                <w:sz w:val="20"/>
                <w:szCs w:val="20"/>
                <w:color w:val="auto"/>
              </w:rPr>
            </w:pPr>
            <w:r>
              <w:rPr>
                <w:rFonts w:ascii="Arial" w:cs="Arial" w:eastAsia="Arial" w:hAnsi="Arial"/>
                <w:sz w:val="13"/>
                <w:szCs w:val="13"/>
                <w:i w:val="1"/>
                <w:iCs w:val="1"/>
                <w:color w:val="auto"/>
              </w:rPr>
              <w:t>In millions of unit cases. Average daily sales data calculated prior to rounding.</w:t>
            </w:r>
          </w:p>
        </w:tc>
        <w:tc>
          <w:tcPr>
            <w:tcW w:w="1440" w:type="dxa"/>
            <w:vAlign w:val="bottom"/>
          </w:tcPr>
          <w:p>
            <w:pPr>
              <w:jc w:val="right"/>
              <w:ind w:right="208"/>
              <w:spacing w:after="0"/>
              <w:rPr>
                <w:sz w:val="20"/>
                <w:szCs w:val="20"/>
                <w:color w:val="auto"/>
              </w:rPr>
            </w:pPr>
            <w:r>
              <w:rPr>
                <w:rFonts w:ascii="Arial" w:cs="Arial" w:eastAsia="Arial" w:hAnsi="Arial"/>
                <w:sz w:val="14"/>
                <w:szCs w:val="14"/>
                <w:b w:val="1"/>
                <w:bCs w:val="1"/>
                <w:color w:val="auto"/>
              </w:rPr>
              <w:t>03 April 2026</w:t>
            </w:r>
          </w:p>
        </w:tc>
        <w:tc>
          <w:tcPr>
            <w:tcW w:w="1620" w:type="dxa"/>
            <w:vAlign w:val="bottom"/>
          </w:tcPr>
          <w:p>
            <w:pPr>
              <w:jc w:val="right"/>
              <w:ind w:right="368"/>
              <w:spacing w:after="0"/>
              <w:rPr>
                <w:sz w:val="20"/>
                <w:szCs w:val="20"/>
                <w:color w:val="auto"/>
              </w:rPr>
            </w:pPr>
            <w:r>
              <w:rPr>
                <w:rFonts w:ascii="Arial" w:cs="Arial" w:eastAsia="Arial" w:hAnsi="Arial"/>
                <w:sz w:val="14"/>
                <w:szCs w:val="14"/>
                <w:b w:val="1"/>
                <w:bCs w:val="1"/>
                <w:color w:val="auto"/>
              </w:rPr>
              <w:t>28 March 2025</w:t>
            </w:r>
          </w:p>
        </w:tc>
        <w:tc>
          <w:tcPr>
            <w:tcW w:w="1320" w:type="dxa"/>
            <w:vAlign w:val="bottom"/>
          </w:tcPr>
          <w:p>
            <w:pPr>
              <w:jc w:val="right"/>
              <w:ind w:right="34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83"/>
        </w:trPr>
        <w:tc>
          <w:tcPr>
            <w:tcW w:w="6860" w:type="dxa"/>
            <w:vAlign w:val="bottom"/>
            <w:vMerge w:val="continue"/>
          </w:tcPr>
          <w:p>
            <w:pPr>
              <w:spacing w:after="0"/>
              <w:rPr>
                <w:sz w:val="7"/>
                <w:szCs w:val="7"/>
                <w:color w:val="auto"/>
              </w:rPr>
            </w:pPr>
          </w:p>
        </w:tc>
        <w:tc>
          <w:tcPr>
            <w:tcW w:w="144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6860" w:type="dxa"/>
            <w:vAlign w:val="bottom"/>
            <w:tcBorders>
              <w:bottom w:val="single" w:sz="8" w:color="F40009"/>
            </w:tcBorders>
          </w:tcPr>
          <w:p>
            <w:pPr>
              <w:spacing w:after="0"/>
              <w:rPr>
                <w:sz w:val="2"/>
                <w:szCs w:val="2"/>
                <w:color w:val="auto"/>
              </w:rPr>
            </w:pPr>
          </w:p>
        </w:tc>
        <w:tc>
          <w:tcPr>
            <w:tcW w:w="1440" w:type="dxa"/>
            <w:vAlign w:val="bottom"/>
            <w:tcBorders>
              <w:bottom w:val="single" w:sz="8" w:color="F40009"/>
            </w:tcBorders>
          </w:tcPr>
          <w:p>
            <w:pPr>
              <w:spacing w:after="0"/>
              <w:rPr>
                <w:sz w:val="2"/>
                <w:szCs w:val="2"/>
                <w:color w:val="auto"/>
              </w:rPr>
            </w:pPr>
          </w:p>
        </w:tc>
        <w:tc>
          <w:tcPr>
            <w:tcW w:w="1620" w:type="dxa"/>
            <w:vAlign w:val="bottom"/>
            <w:tcBorders>
              <w:bottom w:val="single" w:sz="8" w:color="F40009"/>
            </w:tcBorders>
          </w:tcPr>
          <w:p>
            <w:pPr>
              <w:spacing w:after="0"/>
              <w:rPr>
                <w:sz w:val="2"/>
                <w:szCs w:val="2"/>
                <w:color w:val="auto"/>
              </w:rPr>
            </w:pPr>
          </w:p>
        </w:tc>
        <w:tc>
          <w:tcPr>
            <w:tcW w:w="1320" w:type="dxa"/>
            <w:vAlign w:val="bottom"/>
            <w:tcBorders>
              <w:bottom w:val="single" w:sz="8" w:color="F40009"/>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6860" w:type="dxa"/>
            <w:vAlign w:val="bottom"/>
          </w:tcPr>
          <w:p>
            <w:pPr>
              <w:ind w:left="20"/>
              <w:spacing w:after="0"/>
              <w:rPr>
                <w:sz w:val="20"/>
                <w:szCs w:val="20"/>
                <w:color w:val="auto"/>
              </w:rPr>
            </w:pPr>
            <w:r>
              <w:rPr>
                <w:rFonts w:ascii="Arial" w:cs="Arial" w:eastAsia="Arial" w:hAnsi="Arial"/>
                <w:sz w:val="14"/>
                <w:szCs w:val="14"/>
                <w:b w:val="1"/>
                <w:bCs w:val="1"/>
                <w:color w:val="auto"/>
              </w:rPr>
              <w:t>Volume</w:t>
            </w:r>
          </w:p>
        </w:tc>
        <w:tc>
          <w:tcPr>
            <w:tcW w:w="1440" w:type="dxa"/>
            <w:vAlign w:val="bottom"/>
          </w:tcPr>
          <w:p>
            <w:pPr>
              <w:jc w:val="right"/>
              <w:ind w:right="8"/>
              <w:spacing w:after="0"/>
              <w:rPr>
                <w:sz w:val="20"/>
                <w:szCs w:val="20"/>
                <w:color w:val="auto"/>
              </w:rPr>
            </w:pPr>
            <w:r>
              <w:rPr>
                <w:rFonts w:ascii="Arial" w:cs="Arial" w:eastAsia="Arial" w:hAnsi="Arial"/>
                <w:sz w:val="14"/>
                <w:szCs w:val="14"/>
                <w:b w:val="1"/>
                <w:bCs w:val="1"/>
                <w:color w:val="auto"/>
              </w:rPr>
              <w:t>970</w:t>
            </w:r>
          </w:p>
        </w:tc>
        <w:tc>
          <w:tcPr>
            <w:tcW w:w="1620" w:type="dxa"/>
            <w:vAlign w:val="bottom"/>
          </w:tcPr>
          <w:p>
            <w:pPr>
              <w:jc w:val="right"/>
              <w:ind w:right="208"/>
              <w:spacing w:after="0"/>
              <w:rPr>
                <w:sz w:val="20"/>
                <w:szCs w:val="20"/>
                <w:color w:val="auto"/>
              </w:rPr>
            </w:pPr>
            <w:r>
              <w:rPr>
                <w:rFonts w:ascii="Arial" w:cs="Arial" w:eastAsia="Arial" w:hAnsi="Arial"/>
                <w:sz w:val="14"/>
                <w:szCs w:val="14"/>
                <w:b w:val="1"/>
                <w:bCs w:val="1"/>
                <w:color w:val="auto"/>
              </w:rPr>
              <w:t>894</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8.5 %</w:t>
            </w:r>
          </w:p>
        </w:tc>
        <w:tc>
          <w:tcPr>
            <w:tcW w:w="0" w:type="dxa"/>
            <w:vAlign w:val="bottom"/>
          </w:tcPr>
          <w:p>
            <w:pPr>
              <w:spacing w:after="0"/>
              <w:rPr>
                <w:sz w:val="1"/>
                <w:szCs w:val="1"/>
                <w:color w:val="auto"/>
              </w:rPr>
            </w:pPr>
          </w:p>
        </w:tc>
      </w:tr>
      <w:tr>
        <w:trPr>
          <w:trHeight w:val="200"/>
        </w:trPr>
        <w:tc>
          <w:tcPr>
            <w:tcW w:w="6860" w:type="dxa"/>
            <w:vAlign w:val="bottom"/>
          </w:tcPr>
          <w:p>
            <w:pPr>
              <w:ind w:left="20"/>
              <w:spacing w:after="0"/>
              <w:rPr>
                <w:sz w:val="20"/>
                <w:szCs w:val="20"/>
                <w:color w:val="auto"/>
              </w:rPr>
            </w:pPr>
            <w:r>
              <w:rPr>
                <w:rFonts w:ascii="Arial" w:cs="Arial" w:eastAsia="Arial" w:hAnsi="Arial"/>
                <w:sz w:val="14"/>
                <w:szCs w:val="14"/>
                <w:color w:val="auto"/>
              </w:rPr>
              <w:t>Consumption days</w:t>
            </w: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93</w:t>
            </w:r>
          </w:p>
        </w:tc>
        <w:tc>
          <w:tcPr>
            <w:tcW w:w="1620" w:type="dxa"/>
            <w:vAlign w:val="bottom"/>
          </w:tcPr>
          <w:p>
            <w:pPr>
              <w:jc w:val="right"/>
              <w:ind w:right="208"/>
              <w:spacing w:after="0"/>
              <w:rPr>
                <w:sz w:val="20"/>
                <w:szCs w:val="20"/>
                <w:color w:val="auto"/>
              </w:rPr>
            </w:pPr>
            <w:r>
              <w:rPr>
                <w:rFonts w:ascii="Arial" w:cs="Arial" w:eastAsia="Arial" w:hAnsi="Arial"/>
                <w:sz w:val="14"/>
                <w:szCs w:val="14"/>
                <w:color w:val="auto"/>
              </w:rPr>
              <w:t>87</w:t>
            </w:r>
          </w:p>
        </w:tc>
        <w:tc>
          <w:tcPr>
            <w:tcW w:w="1320" w:type="dxa"/>
            <w:vAlign w:val="bottom"/>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7"/>
        </w:trPr>
        <w:tc>
          <w:tcPr>
            <w:tcW w:w="6860" w:type="dxa"/>
            <w:vAlign w:val="bottom"/>
            <w:shd w:val="clear" w:color="auto" w:fill="E0E0E0"/>
          </w:tcPr>
          <w:p>
            <w:pPr>
              <w:ind w:left="20"/>
              <w:spacing w:after="0"/>
              <w:rPr>
                <w:sz w:val="20"/>
                <w:szCs w:val="20"/>
                <w:color w:val="auto"/>
              </w:rPr>
            </w:pPr>
            <w:r>
              <w:rPr>
                <w:rFonts w:ascii="Arial" w:cs="Arial" w:eastAsia="Arial" w:hAnsi="Arial"/>
                <w:sz w:val="14"/>
                <w:szCs w:val="14"/>
                <w:b w:val="1"/>
                <w:bCs w:val="1"/>
                <w:color w:val="auto"/>
              </w:rPr>
              <w:t>Average Daily Sales</w:t>
            </w:r>
          </w:p>
        </w:tc>
        <w:tc>
          <w:tcPr>
            <w:tcW w:w="1440" w:type="dxa"/>
            <w:vAlign w:val="bottom"/>
            <w:shd w:val="clear" w:color="auto" w:fill="E0E0E0"/>
          </w:tcPr>
          <w:p>
            <w:pPr>
              <w:jc w:val="right"/>
              <w:ind w:right="8"/>
              <w:spacing w:after="0"/>
              <w:rPr>
                <w:sz w:val="20"/>
                <w:szCs w:val="20"/>
                <w:color w:val="auto"/>
              </w:rPr>
            </w:pPr>
            <w:r>
              <w:rPr>
                <w:rFonts w:ascii="Arial" w:cs="Arial" w:eastAsia="Arial" w:hAnsi="Arial"/>
                <w:sz w:val="14"/>
                <w:szCs w:val="14"/>
                <w:b w:val="1"/>
                <w:bCs w:val="1"/>
                <w:color w:val="auto"/>
              </w:rPr>
              <w:t>10.43</w:t>
            </w:r>
          </w:p>
        </w:tc>
        <w:tc>
          <w:tcPr>
            <w:tcW w:w="1620" w:type="dxa"/>
            <w:vAlign w:val="bottom"/>
            <w:shd w:val="clear" w:color="auto" w:fill="E0E0E0"/>
          </w:tcPr>
          <w:p>
            <w:pPr>
              <w:jc w:val="right"/>
              <w:ind w:right="208"/>
              <w:spacing w:after="0"/>
              <w:rPr>
                <w:sz w:val="20"/>
                <w:szCs w:val="20"/>
                <w:color w:val="auto"/>
              </w:rPr>
            </w:pPr>
            <w:r>
              <w:rPr>
                <w:rFonts w:ascii="Arial" w:cs="Arial" w:eastAsia="Arial" w:hAnsi="Arial"/>
                <w:sz w:val="14"/>
                <w:szCs w:val="14"/>
                <w:b w:val="1"/>
                <w:bCs w:val="1"/>
                <w:color w:val="auto"/>
              </w:rPr>
              <w:t>10.27</w:t>
            </w:r>
          </w:p>
        </w:tc>
        <w:tc>
          <w:tcPr>
            <w:tcW w:w="1320" w:type="dxa"/>
            <w:vAlign w:val="bottom"/>
            <w:shd w:val="clear" w:color="auto" w:fill="E0E0E0"/>
          </w:tcPr>
          <w:p>
            <w:pPr>
              <w:jc w:val="right"/>
              <w:spacing w:after="0"/>
              <w:rPr>
                <w:sz w:val="20"/>
                <w:szCs w:val="20"/>
                <w:color w:val="auto"/>
              </w:rPr>
            </w:pPr>
            <w:r>
              <w:rPr>
                <w:rFonts w:ascii="Arial" w:cs="Arial" w:eastAsia="Arial" w:hAnsi="Arial"/>
                <w:sz w:val="14"/>
                <w:szCs w:val="14"/>
                <w:b w:val="1"/>
                <w:bCs w:val="1"/>
                <w:color w:val="auto"/>
              </w:rPr>
              <w:t>1.6 %</w:t>
            </w:r>
          </w:p>
        </w:tc>
        <w:tc>
          <w:tcPr>
            <w:tcW w:w="0" w:type="dxa"/>
            <w:vAlign w:val="bottom"/>
          </w:tcPr>
          <w:p>
            <w:pPr>
              <w:spacing w:after="0"/>
              <w:rPr>
                <w:sz w:val="1"/>
                <w:szCs w:val="1"/>
                <w:color w:val="auto"/>
              </w:rPr>
            </w:pPr>
          </w:p>
        </w:tc>
      </w:tr>
      <w:tr>
        <w:trPr>
          <w:trHeight w:val="553"/>
        </w:trPr>
        <w:tc>
          <w:tcPr>
            <w:tcW w:w="6860" w:type="dxa"/>
            <w:vAlign w:val="bottom"/>
            <w:tcBorders>
              <w:bottom w:val="single" w:sz="8" w:color="F40009"/>
            </w:tcBorders>
          </w:tcPr>
          <w:p>
            <w:pPr>
              <w:ind w:left="20"/>
              <w:spacing w:after="0"/>
              <w:rPr>
                <w:sz w:val="20"/>
                <w:szCs w:val="20"/>
                <w:color w:val="auto"/>
              </w:rPr>
            </w:pPr>
            <w:r>
              <w:rPr>
                <w:rFonts w:ascii="Arial" w:cs="Arial" w:eastAsia="Arial" w:hAnsi="Arial"/>
                <w:sz w:val="14"/>
                <w:szCs w:val="14"/>
                <w:b w:val="1"/>
                <w:bCs w:val="1"/>
                <w:color w:val="auto"/>
              </w:rPr>
              <w:t>Comparable Volume - Consumption Day Shift Europe</w:t>
            </w:r>
          </w:p>
        </w:tc>
        <w:tc>
          <w:tcPr>
            <w:tcW w:w="1440" w:type="dxa"/>
            <w:vAlign w:val="bottom"/>
            <w:tcBorders>
              <w:bottom w:val="single" w:sz="8" w:color="F40009"/>
            </w:tcBorders>
          </w:tcPr>
          <w:p>
            <w:pPr>
              <w:spacing w:after="0"/>
              <w:rPr>
                <w:sz w:val="24"/>
                <w:szCs w:val="24"/>
                <w:color w:val="auto"/>
              </w:rPr>
            </w:pPr>
          </w:p>
        </w:tc>
        <w:tc>
          <w:tcPr>
            <w:tcW w:w="1620" w:type="dxa"/>
            <w:vAlign w:val="bottom"/>
            <w:tcBorders>
              <w:bottom w:val="single" w:sz="8" w:color="F40009"/>
            </w:tcBorders>
          </w:tcPr>
          <w:p>
            <w:pPr>
              <w:spacing w:after="0"/>
              <w:rPr>
                <w:sz w:val="24"/>
                <w:szCs w:val="24"/>
                <w:color w:val="auto"/>
              </w:rPr>
            </w:pPr>
          </w:p>
        </w:tc>
        <w:tc>
          <w:tcPr>
            <w:tcW w:w="1320" w:type="dxa"/>
            <w:vAlign w:val="bottom"/>
            <w:tcBorders>
              <w:bottom w:val="single" w:sz="8" w:color="F40009"/>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6860" w:type="dxa"/>
            <w:vAlign w:val="bottom"/>
          </w:tcPr>
          <w:p>
            <w:pPr>
              <w:ind w:left="20"/>
              <w:spacing w:after="0"/>
              <w:rPr>
                <w:sz w:val="20"/>
                <w:szCs w:val="20"/>
                <w:color w:val="auto"/>
              </w:rPr>
            </w:pPr>
            <w:r>
              <w:rPr>
                <w:rFonts w:ascii="Arial" w:cs="Arial" w:eastAsia="Arial" w:hAnsi="Arial"/>
                <w:sz w:val="14"/>
                <w:szCs w:val="14"/>
                <w:b w:val="1"/>
                <w:bCs w:val="1"/>
                <w:color w:val="auto"/>
              </w:rPr>
              <w:t>Volume</w:t>
            </w:r>
          </w:p>
        </w:tc>
        <w:tc>
          <w:tcPr>
            <w:tcW w:w="1440" w:type="dxa"/>
            <w:vAlign w:val="bottom"/>
          </w:tcPr>
          <w:p>
            <w:pPr>
              <w:jc w:val="right"/>
              <w:ind w:right="8"/>
              <w:spacing w:after="0"/>
              <w:rPr>
                <w:sz w:val="20"/>
                <w:szCs w:val="20"/>
                <w:color w:val="auto"/>
              </w:rPr>
            </w:pPr>
            <w:r>
              <w:rPr>
                <w:rFonts w:ascii="Arial" w:cs="Arial" w:eastAsia="Arial" w:hAnsi="Arial"/>
                <w:sz w:val="14"/>
                <w:szCs w:val="14"/>
                <w:b w:val="1"/>
                <w:bCs w:val="1"/>
                <w:color w:val="auto"/>
              </w:rPr>
              <w:t>596</w:t>
            </w:r>
          </w:p>
        </w:tc>
        <w:tc>
          <w:tcPr>
            <w:tcW w:w="1620" w:type="dxa"/>
            <w:vAlign w:val="bottom"/>
          </w:tcPr>
          <w:p>
            <w:pPr>
              <w:jc w:val="right"/>
              <w:ind w:right="208"/>
              <w:spacing w:after="0"/>
              <w:rPr>
                <w:sz w:val="20"/>
                <w:szCs w:val="20"/>
                <w:color w:val="auto"/>
              </w:rPr>
            </w:pPr>
            <w:r>
              <w:rPr>
                <w:rFonts w:ascii="Arial" w:cs="Arial" w:eastAsia="Arial" w:hAnsi="Arial"/>
                <w:sz w:val="14"/>
                <w:szCs w:val="14"/>
                <w:b w:val="1"/>
                <w:bCs w:val="1"/>
                <w:color w:val="auto"/>
              </w:rPr>
              <w:t>550</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8.4 %</w:t>
            </w:r>
          </w:p>
        </w:tc>
        <w:tc>
          <w:tcPr>
            <w:tcW w:w="0" w:type="dxa"/>
            <w:vAlign w:val="bottom"/>
          </w:tcPr>
          <w:p>
            <w:pPr>
              <w:spacing w:after="0"/>
              <w:rPr>
                <w:sz w:val="1"/>
                <w:szCs w:val="1"/>
                <w:color w:val="auto"/>
              </w:rPr>
            </w:pPr>
          </w:p>
        </w:tc>
      </w:tr>
      <w:tr>
        <w:trPr>
          <w:trHeight w:val="200"/>
        </w:trPr>
        <w:tc>
          <w:tcPr>
            <w:tcW w:w="6860" w:type="dxa"/>
            <w:vAlign w:val="bottom"/>
          </w:tcPr>
          <w:p>
            <w:pPr>
              <w:ind w:left="20"/>
              <w:spacing w:after="0"/>
              <w:rPr>
                <w:sz w:val="20"/>
                <w:szCs w:val="20"/>
                <w:color w:val="auto"/>
              </w:rPr>
            </w:pPr>
            <w:r>
              <w:rPr>
                <w:rFonts w:ascii="Arial" w:cs="Arial" w:eastAsia="Arial" w:hAnsi="Arial"/>
                <w:sz w:val="14"/>
                <w:szCs w:val="14"/>
                <w:color w:val="auto"/>
              </w:rPr>
              <w:t>Consumption days</w:t>
            </w: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93</w:t>
            </w:r>
          </w:p>
        </w:tc>
        <w:tc>
          <w:tcPr>
            <w:tcW w:w="1620" w:type="dxa"/>
            <w:vAlign w:val="bottom"/>
          </w:tcPr>
          <w:p>
            <w:pPr>
              <w:jc w:val="right"/>
              <w:ind w:right="208"/>
              <w:spacing w:after="0"/>
              <w:rPr>
                <w:sz w:val="20"/>
                <w:szCs w:val="20"/>
                <w:color w:val="auto"/>
              </w:rPr>
            </w:pPr>
            <w:r>
              <w:rPr>
                <w:rFonts w:ascii="Arial" w:cs="Arial" w:eastAsia="Arial" w:hAnsi="Arial"/>
                <w:sz w:val="14"/>
                <w:szCs w:val="14"/>
                <w:color w:val="auto"/>
              </w:rPr>
              <w:t>87</w:t>
            </w:r>
          </w:p>
        </w:tc>
        <w:tc>
          <w:tcPr>
            <w:tcW w:w="1320" w:type="dxa"/>
            <w:vAlign w:val="bottom"/>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6"/>
        </w:trPr>
        <w:tc>
          <w:tcPr>
            <w:tcW w:w="6860" w:type="dxa"/>
            <w:vAlign w:val="bottom"/>
            <w:shd w:val="clear" w:color="auto" w:fill="E0E0E0"/>
          </w:tcPr>
          <w:p>
            <w:pPr>
              <w:ind w:left="20"/>
              <w:spacing w:after="0"/>
              <w:rPr>
                <w:sz w:val="20"/>
                <w:szCs w:val="20"/>
                <w:color w:val="auto"/>
              </w:rPr>
            </w:pPr>
            <w:r>
              <w:rPr>
                <w:rFonts w:ascii="Arial" w:cs="Arial" w:eastAsia="Arial" w:hAnsi="Arial"/>
                <w:sz w:val="14"/>
                <w:szCs w:val="14"/>
                <w:b w:val="1"/>
                <w:bCs w:val="1"/>
                <w:color w:val="auto"/>
              </w:rPr>
              <w:t>Average Daily Sales</w:t>
            </w:r>
          </w:p>
        </w:tc>
        <w:tc>
          <w:tcPr>
            <w:tcW w:w="1440" w:type="dxa"/>
            <w:vAlign w:val="bottom"/>
            <w:shd w:val="clear" w:color="auto" w:fill="E0E0E0"/>
          </w:tcPr>
          <w:p>
            <w:pPr>
              <w:jc w:val="right"/>
              <w:ind w:right="8"/>
              <w:spacing w:after="0"/>
              <w:rPr>
                <w:sz w:val="20"/>
                <w:szCs w:val="20"/>
                <w:color w:val="auto"/>
              </w:rPr>
            </w:pPr>
            <w:r>
              <w:rPr>
                <w:rFonts w:ascii="Arial" w:cs="Arial" w:eastAsia="Arial" w:hAnsi="Arial"/>
                <w:sz w:val="14"/>
                <w:szCs w:val="14"/>
                <w:b w:val="1"/>
                <w:bCs w:val="1"/>
                <w:color w:val="auto"/>
              </w:rPr>
              <w:t>6.41</w:t>
            </w:r>
          </w:p>
        </w:tc>
        <w:tc>
          <w:tcPr>
            <w:tcW w:w="1620" w:type="dxa"/>
            <w:vAlign w:val="bottom"/>
            <w:shd w:val="clear" w:color="auto" w:fill="E0E0E0"/>
          </w:tcPr>
          <w:p>
            <w:pPr>
              <w:jc w:val="right"/>
              <w:ind w:right="208"/>
              <w:spacing w:after="0"/>
              <w:rPr>
                <w:sz w:val="20"/>
                <w:szCs w:val="20"/>
                <w:color w:val="auto"/>
              </w:rPr>
            </w:pPr>
            <w:r>
              <w:rPr>
                <w:rFonts w:ascii="Arial" w:cs="Arial" w:eastAsia="Arial" w:hAnsi="Arial"/>
                <w:sz w:val="14"/>
                <w:szCs w:val="14"/>
                <w:b w:val="1"/>
                <w:bCs w:val="1"/>
                <w:color w:val="auto"/>
              </w:rPr>
              <w:t>6.32</w:t>
            </w:r>
          </w:p>
        </w:tc>
        <w:tc>
          <w:tcPr>
            <w:tcW w:w="1320" w:type="dxa"/>
            <w:vAlign w:val="bottom"/>
            <w:shd w:val="clear" w:color="auto" w:fill="E0E0E0"/>
          </w:tcPr>
          <w:p>
            <w:pPr>
              <w:jc w:val="right"/>
              <w:spacing w:after="0"/>
              <w:rPr>
                <w:sz w:val="20"/>
                <w:szCs w:val="20"/>
                <w:color w:val="auto"/>
              </w:rPr>
            </w:pPr>
            <w:r>
              <w:rPr>
                <w:rFonts w:ascii="Arial" w:cs="Arial" w:eastAsia="Arial" w:hAnsi="Arial"/>
                <w:sz w:val="14"/>
                <w:szCs w:val="14"/>
                <w:b w:val="1"/>
                <w:bCs w:val="1"/>
                <w:color w:val="auto"/>
              </w:rPr>
              <w:t>1.4 %</w:t>
            </w:r>
          </w:p>
        </w:tc>
        <w:tc>
          <w:tcPr>
            <w:tcW w:w="0" w:type="dxa"/>
            <w:vAlign w:val="bottom"/>
          </w:tcPr>
          <w:p>
            <w:pPr>
              <w:spacing w:after="0"/>
              <w:rPr>
                <w:sz w:val="1"/>
                <w:szCs w:val="1"/>
                <w:color w:val="auto"/>
              </w:rPr>
            </w:pPr>
          </w:p>
        </w:tc>
      </w:tr>
      <w:tr>
        <w:trPr>
          <w:trHeight w:val="566"/>
        </w:trPr>
        <w:tc>
          <w:tcPr>
            <w:tcW w:w="6860" w:type="dxa"/>
            <w:vAlign w:val="bottom"/>
            <w:tcBorders>
              <w:bottom w:val="single" w:sz="8" w:color="F40009"/>
            </w:tcBorders>
          </w:tcPr>
          <w:p>
            <w:pPr>
              <w:ind w:left="20"/>
              <w:spacing w:after="0"/>
              <w:rPr>
                <w:sz w:val="20"/>
                <w:szCs w:val="20"/>
                <w:color w:val="auto"/>
              </w:rPr>
            </w:pPr>
            <w:r>
              <w:rPr>
                <w:rFonts w:ascii="Arial" w:cs="Arial" w:eastAsia="Arial" w:hAnsi="Arial"/>
                <w:sz w:val="14"/>
                <w:szCs w:val="14"/>
                <w:b w:val="1"/>
                <w:bCs w:val="1"/>
                <w:color w:val="auto"/>
              </w:rPr>
              <w:t>Comparable Volume - Consumption Day Shift APS</w:t>
            </w:r>
          </w:p>
        </w:tc>
        <w:tc>
          <w:tcPr>
            <w:tcW w:w="1440" w:type="dxa"/>
            <w:vAlign w:val="bottom"/>
            <w:tcBorders>
              <w:bottom w:val="single" w:sz="8" w:color="F40009"/>
            </w:tcBorders>
          </w:tcPr>
          <w:p>
            <w:pPr>
              <w:spacing w:after="0"/>
              <w:rPr>
                <w:sz w:val="24"/>
                <w:szCs w:val="24"/>
                <w:color w:val="auto"/>
              </w:rPr>
            </w:pPr>
          </w:p>
        </w:tc>
        <w:tc>
          <w:tcPr>
            <w:tcW w:w="1620" w:type="dxa"/>
            <w:vAlign w:val="bottom"/>
            <w:tcBorders>
              <w:bottom w:val="single" w:sz="8" w:color="F40009"/>
            </w:tcBorders>
          </w:tcPr>
          <w:p>
            <w:pPr>
              <w:spacing w:after="0"/>
              <w:rPr>
                <w:sz w:val="24"/>
                <w:szCs w:val="24"/>
                <w:color w:val="auto"/>
              </w:rPr>
            </w:pPr>
          </w:p>
        </w:tc>
        <w:tc>
          <w:tcPr>
            <w:tcW w:w="1320" w:type="dxa"/>
            <w:vAlign w:val="bottom"/>
            <w:tcBorders>
              <w:bottom w:val="single" w:sz="8" w:color="F40009"/>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6860" w:type="dxa"/>
            <w:vAlign w:val="bottom"/>
          </w:tcPr>
          <w:p>
            <w:pPr>
              <w:ind w:left="20"/>
              <w:spacing w:after="0"/>
              <w:rPr>
                <w:sz w:val="20"/>
                <w:szCs w:val="20"/>
                <w:color w:val="auto"/>
              </w:rPr>
            </w:pPr>
            <w:r>
              <w:rPr>
                <w:rFonts w:ascii="Arial" w:cs="Arial" w:eastAsia="Arial" w:hAnsi="Arial"/>
                <w:sz w:val="14"/>
                <w:szCs w:val="14"/>
                <w:b w:val="1"/>
                <w:bCs w:val="1"/>
                <w:color w:val="auto"/>
              </w:rPr>
              <w:t>Volume</w:t>
            </w:r>
          </w:p>
        </w:tc>
        <w:tc>
          <w:tcPr>
            <w:tcW w:w="1440" w:type="dxa"/>
            <w:vAlign w:val="bottom"/>
          </w:tcPr>
          <w:p>
            <w:pPr>
              <w:jc w:val="right"/>
              <w:ind w:right="8"/>
              <w:spacing w:after="0"/>
              <w:rPr>
                <w:sz w:val="20"/>
                <w:szCs w:val="20"/>
                <w:color w:val="auto"/>
              </w:rPr>
            </w:pPr>
            <w:r>
              <w:rPr>
                <w:rFonts w:ascii="Arial" w:cs="Arial" w:eastAsia="Arial" w:hAnsi="Arial"/>
                <w:sz w:val="14"/>
                <w:szCs w:val="14"/>
                <w:b w:val="1"/>
                <w:bCs w:val="1"/>
                <w:color w:val="auto"/>
              </w:rPr>
              <w:t>374</w:t>
            </w:r>
          </w:p>
        </w:tc>
        <w:tc>
          <w:tcPr>
            <w:tcW w:w="1620" w:type="dxa"/>
            <w:vAlign w:val="bottom"/>
          </w:tcPr>
          <w:p>
            <w:pPr>
              <w:jc w:val="right"/>
              <w:ind w:right="208"/>
              <w:spacing w:after="0"/>
              <w:rPr>
                <w:sz w:val="20"/>
                <w:szCs w:val="20"/>
                <w:color w:val="auto"/>
              </w:rPr>
            </w:pPr>
            <w:r>
              <w:rPr>
                <w:rFonts w:ascii="Arial" w:cs="Arial" w:eastAsia="Arial" w:hAnsi="Arial"/>
                <w:sz w:val="14"/>
                <w:szCs w:val="14"/>
                <w:b w:val="1"/>
                <w:bCs w:val="1"/>
                <w:color w:val="auto"/>
              </w:rPr>
              <w:t>344</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8.7 %</w:t>
            </w:r>
          </w:p>
        </w:tc>
        <w:tc>
          <w:tcPr>
            <w:tcW w:w="0" w:type="dxa"/>
            <w:vAlign w:val="bottom"/>
          </w:tcPr>
          <w:p>
            <w:pPr>
              <w:spacing w:after="0"/>
              <w:rPr>
                <w:sz w:val="1"/>
                <w:szCs w:val="1"/>
                <w:color w:val="auto"/>
              </w:rPr>
            </w:pPr>
          </w:p>
        </w:tc>
      </w:tr>
      <w:tr>
        <w:trPr>
          <w:trHeight w:val="200"/>
        </w:trPr>
        <w:tc>
          <w:tcPr>
            <w:tcW w:w="6860" w:type="dxa"/>
            <w:vAlign w:val="bottom"/>
          </w:tcPr>
          <w:p>
            <w:pPr>
              <w:ind w:left="20"/>
              <w:spacing w:after="0"/>
              <w:rPr>
                <w:sz w:val="20"/>
                <w:szCs w:val="20"/>
                <w:color w:val="auto"/>
              </w:rPr>
            </w:pPr>
            <w:r>
              <w:rPr>
                <w:rFonts w:ascii="Arial" w:cs="Arial" w:eastAsia="Arial" w:hAnsi="Arial"/>
                <w:sz w:val="14"/>
                <w:szCs w:val="14"/>
                <w:color w:val="auto"/>
              </w:rPr>
              <w:t>Consumption days</w:t>
            </w: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93</w:t>
            </w:r>
          </w:p>
        </w:tc>
        <w:tc>
          <w:tcPr>
            <w:tcW w:w="1620" w:type="dxa"/>
            <w:vAlign w:val="bottom"/>
          </w:tcPr>
          <w:p>
            <w:pPr>
              <w:jc w:val="right"/>
              <w:ind w:right="208"/>
              <w:spacing w:after="0"/>
              <w:rPr>
                <w:sz w:val="20"/>
                <w:szCs w:val="20"/>
                <w:color w:val="auto"/>
              </w:rPr>
            </w:pPr>
            <w:r>
              <w:rPr>
                <w:rFonts w:ascii="Arial" w:cs="Arial" w:eastAsia="Arial" w:hAnsi="Arial"/>
                <w:sz w:val="14"/>
                <w:szCs w:val="14"/>
                <w:color w:val="auto"/>
              </w:rPr>
              <w:t>87</w:t>
            </w:r>
          </w:p>
        </w:tc>
        <w:tc>
          <w:tcPr>
            <w:tcW w:w="1320" w:type="dxa"/>
            <w:vAlign w:val="bottom"/>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7"/>
        </w:trPr>
        <w:tc>
          <w:tcPr>
            <w:tcW w:w="6860" w:type="dxa"/>
            <w:vAlign w:val="bottom"/>
            <w:shd w:val="clear" w:color="auto" w:fill="E0E0E0"/>
          </w:tcPr>
          <w:p>
            <w:pPr>
              <w:ind w:left="20"/>
              <w:spacing w:after="0"/>
              <w:rPr>
                <w:sz w:val="20"/>
                <w:szCs w:val="20"/>
                <w:color w:val="auto"/>
              </w:rPr>
            </w:pPr>
            <w:r>
              <w:rPr>
                <w:rFonts w:ascii="Arial" w:cs="Arial" w:eastAsia="Arial" w:hAnsi="Arial"/>
                <w:sz w:val="14"/>
                <w:szCs w:val="14"/>
                <w:b w:val="1"/>
                <w:bCs w:val="1"/>
                <w:color w:val="auto"/>
              </w:rPr>
              <w:t>Average Daily Sales</w:t>
            </w:r>
          </w:p>
        </w:tc>
        <w:tc>
          <w:tcPr>
            <w:tcW w:w="1440" w:type="dxa"/>
            <w:vAlign w:val="bottom"/>
            <w:shd w:val="clear" w:color="auto" w:fill="E0E0E0"/>
          </w:tcPr>
          <w:p>
            <w:pPr>
              <w:jc w:val="right"/>
              <w:ind w:right="8"/>
              <w:spacing w:after="0"/>
              <w:rPr>
                <w:sz w:val="20"/>
                <w:szCs w:val="20"/>
                <w:color w:val="auto"/>
              </w:rPr>
            </w:pPr>
            <w:r>
              <w:rPr>
                <w:rFonts w:ascii="Arial" w:cs="Arial" w:eastAsia="Arial" w:hAnsi="Arial"/>
                <w:sz w:val="14"/>
                <w:szCs w:val="14"/>
                <w:b w:val="1"/>
                <w:bCs w:val="1"/>
                <w:color w:val="auto"/>
              </w:rPr>
              <w:t>4.02</w:t>
            </w:r>
          </w:p>
        </w:tc>
        <w:tc>
          <w:tcPr>
            <w:tcW w:w="1620" w:type="dxa"/>
            <w:vAlign w:val="bottom"/>
            <w:shd w:val="clear" w:color="auto" w:fill="E0E0E0"/>
          </w:tcPr>
          <w:p>
            <w:pPr>
              <w:jc w:val="right"/>
              <w:ind w:right="208"/>
              <w:spacing w:after="0"/>
              <w:rPr>
                <w:sz w:val="20"/>
                <w:szCs w:val="20"/>
                <w:color w:val="auto"/>
              </w:rPr>
            </w:pPr>
            <w:r>
              <w:rPr>
                <w:rFonts w:ascii="Arial" w:cs="Arial" w:eastAsia="Arial" w:hAnsi="Arial"/>
                <w:sz w:val="14"/>
                <w:szCs w:val="14"/>
                <w:b w:val="1"/>
                <w:bCs w:val="1"/>
                <w:color w:val="auto"/>
              </w:rPr>
              <w:t>3.95</w:t>
            </w:r>
          </w:p>
        </w:tc>
        <w:tc>
          <w:tcPr>
            <w:tcW w:w="1320" w:type="dxa"/>
            <w:vAlign w:val="bottom"/>
            <w:shd w:val="clear" w:color="auto" w:fill="E0E0E0"/>
          </w:tcPr>
          <w:p>
            <w:pPr>
              <w:jc w:val="right"/>
              <w:spacing w:after="0"/>
              <w:rPr>
                <w:sz w:val="20"/>
                <w:szCs w:val="20"/>
                <w:color w:val="auto"/>
              </w:rPr>
            </w:pPr>
            <w:r>
              <w:rPr>
                <w:rFonts w:ascii="Arial" w:cs="Arial" w:eastAsia="Arial" w:hAnsi="Arial"/>
                <w:sz w:val="14"/>
                <w:szCs w:val="14"/>
                <w:b w:val="1"/>
                <w:bCs w:val="1"/>
                <w:color w:val="auto"/>
              </w:rPr>
              <w:t>1.9 %</w:t>
            </w:r>
          </w:p>
        </w:tc>
        <w:tc>
          <w:tcPr>
            <w:tcW w:w="0" w:type="dxa"/>
            <w:vAlign w:val="bottom"/>
          </w:tcPr>
          <w:p>
            <w:pPr>
              <w:spacing w:after="0"/>
              <w:rPr>
                <w:sz w:val="1"/>
                <w:szCs w:val="1"/>
                <w:color w:val="auto"/>
              </w:rPr>
            </w:pPr>
          </w:p>
        </w:tc>
      </w:tr>
    </w:tbl>
    <w:p>
      <w:pPr>
        <w:spacing w:after="0" w:line="317" w:lineRule="exact"/>
        <w:rPr>
          <w:sz w:val="20"/>
          <w:szCs w:val="20"/>
          <w:color w:val="auto"/>
        </w:rPr>
      </w:pPr>
    </w:p>
    <w:p>
      <w:pPr>
        <w:spacing w:after="0"/>
        <w:rPr>
          <w:sz w:val="20"/>
          <w:szCs w:val="20"/>
          <w:color w:val="auto"/>
        </w:rPr>
      </w:pPr>
      <w:r>
        <w:rPr>
          <w:rFonts w:ascii="Arial" w:cs="Arial" w:eastAsia="Arial" w:hAnsi="Arial"/>
          <w:sz w:val="13"/>
          <w:szCs w:val="13"/>
          <w:color w:val="auto"/>
        </w:rPr>
        <w:t>The calculation of comparable volume growth has been updated and is now based on consumption days (previously selling days), consistent with how management reviews volume performance.</w:t>
      </w:r>
    </w:p>
    <w:p>
      <w:pPr>
        <w:spacing w:after="0"/>
        <w:rPr>
          <w:sz w:val="20"/>
          <w:szCs w:val="20"/>
          <w:color w:val="auto"/>
        </w:rPr>
      </w:pPr>
      <w:r>
        <w:rPr>
          <w:rFonts w:ascii="Arial" w:cs="Arial" w:eastAsia="Arial" w:hAnsi="Arial"/>
          <w:sz w:val="13"/>
          <w:szCs w:val="13"/>
          <w:color w:val="auto"/>
        </w:rPr>
        <w:t>Comparable volume growth is calculated based on Average Daily Sales (ADS), dividing reported volumes by consumption days for each respective period.</w:t>
      </w:r>
    </w:p>
    <w:p>
      <w:pPr>
        <w:sectPr>
          <w:pgSz w:w="11900" w:h="16838" w:orient="portrait"/>
          <w:cols w:equalWidth="0" w:num="1">
            <w:col w:w="11240"/>
          </w:cols>
          <w:pgMar w:left="320" w:top="657" w:right="339" w:bottom="1440" w:gutter="0" w:footer="0" w:header="0"/>
        </w:sectPr>
      </w:pPr>
    </w:p>
    <w:bookmarkStart w:id="7" w:name="page8"/>
    <w:bookmarkEnd w:id="7"/>
    <w:p>
      <w:pPr>
        <w:ind w:left="5160"/>
        <w:spacing w:after="0"/>
        <w:rPr>
          <w:sz w:val="20"/>
          <w:szCs w:val="20"/>
          <w:color w:val="auto"/>
        </w:rPr>
      </w:pPr>
      <w:r>
        <w:rPr>
          <w:rFonts w:ascii="Arial" w:cs="Arial" w:eastAsia="Arial" w:hAnsi="Arial"/>
          <w:sz w:val="16"/>
          <w:szCs w:val="16"/>
          <w:b w:val="1"/>
          <w:bCs w:val="1"/>
          <w:color w:val="auto"/>
        </w:rPr>
        <w:t>SIGNATURE</w:t>
      </w:r>
    </w:p>
    <w:p>
      <w:pPr>
        <w:spacing w:after="0" w:line="100" w:lineRule="exact"/>
        <w:rPr>
          <w:sz w:val="20"/>
          <w:szCs w:val="20"/>
          <w:color w:val="auto"/>
        </w:rPr>
      </w:pPr>
    </w:p>
    <w:p>
      <w:pPr>
        <w:ind w:right="160"/>
        <w:spacing w:after="0" w:line="409"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authorised.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7660" w:type="dxa"/>
            <w:vAlign w:val="bottom"/>
            <w:gridSpan w:val="2"/>
          </w:tcPr>
          <w:p>
            <w:pPr>
              <w:ind w:left="1400"/>
              <w:spacing w:after="0"/>
              <w:rPr>
                <w:sz w:val="20"/>
                <w:szCs w:val="20"/>
                <w:color w:val="auto"/>
              </w:rPr>
            </w:pPr>
            <w:r>
              <w:rPr>
                <w:rFonts w:ascii="Arial" w:cs="Arial" w:eastAsia="Arial" w:hAnsi="Arial"/>
                <w:sz w:val="16"/>
                <w:szCs w:val="16"/>
                <w:b w:val="1"/>
                <w:bCs w:val="1"/>
                <w:color w:val="auto"/>
              </w:rPr>
              <w:t>COCA-COLA EUROPACIFIC PARTNERS PLC</w:t>
            </w:r>
          </w:p>
        </w:tc>
      </w:tr>
      <w:tr>
        <w:trPr>
          <w:trHeight w:val="216"/>
        </w:trPr>
        <w:tc>
          <w:tcPr>
            <w:tcW w:w="28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480" w:type="dxa"/>
            <w:vAlign w:val="bottom"/>
          </w:tcPr>
          <w:p>
            <w:pPr>
              <w:ind w:left="20"/>
              <w:spacing w:after="0"/>
              <w:rPr>
                <w:sz w:val="20"/>
                <w:szCs w:val="20"/>
                <w:color w:val="auto"/>
              </w:rPr>
            </w:pPr>
            <w:r>
              <w:rPr>
                <w:rFonts w:ascii="Arial" w:cs="Arial" w:eastAsia="Arial" w:hAnsi="Arial"/>
                <w:sz w:val="16"/>
                <w:szCs w:val="16"/>
                <w:b w:val="1"/>
                <w:bCs w:val="1"/>
                <w:color w:val="auto"/>
              </w:rPr>
              <w:t>(Registrant)</w:t>
            </w:r>
          </w:p>
        </w:tc>
      </w:tr>
      <w:tr>
        <w:trPr>
          <w:trHeight w:val="215"/>
        </w:trPr>
        <w:tc>
          <w:tcPr>
            <w:tcW w:w="2820" w:type="dxa"/>
            <w:vAlign w:val="bottom"/>
          </w:tcPr>
          <w:p>
            <w:pPr>
              <w:spacing w:after="0"/>
              <w:rPr>
                <w:sz w:val="20"/>
                <w:szCs w:val="20"/>
                <w:color w:val="auto"/>
              </w:rPr>
            </w:pPr>
            <w:r>
              <w:rPr>
                <w:rFonts w:ascii="Arial" w:cs="Arial" w:eastAsia="Arial" w:hAnsi="Arial"/>
                <w:sz w:val="16"/>
                <w:szCs w:val="16"/>
                <w:color w:val="auto"/>
              </w:rPr>
              <w:t>Date: April 28, 2026</w:t>
            </w:r>
          </w:p>
        </w:tc>
        <w:tc>
          <w:tcPr>
            <w:tcW w:w="2180" w:type="dxa"/>
            <w:vAlign w:val="bottom"/>
          </w:tcPr>
          <w:p>
            <w:pPr>
              <w:ind w:left="1400"/>
              <w:spacing w:after="0"/>
              <w:rPr>
                <w:sz w:val="20"/>
                <w:szCs w:val="20"/>
                <w:color w:val="auto"/>
              </w:rPr>
            </w:pPr>
            <w:r>
              <w:rPr>
                <w:rFonts w:ascii="Arial" w:cs="Arial" w:eastAsia="Arial" w:hAnsi="Arial"/>
                <w:sz w:val="16"/>
                <w:szCs w:val="16"/>
                <w:color w:val="auto"/>
              </w:rPr>
              <w:t>By:</w:t>
            </w:r>
          </w:p>
        </w:tc>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Ed Walker</w:t>
            </w:r>
          </w:p>
        </w:tc>
      </w:tr>
      <w:tr>
        <w:trPr>
          <w:trHeight w:val="210"/>
        </w:trPr>
        <w:tc>
          <w:tcPr>
            <w:tcW w:w="2820" w:type="dxa"/>
            <w:vAlign w:val="bottom"/>
          </w:tcPr>
          <w:p>
            <w:pPr>
              <w:spacing w:after="0"/>
              <w:rPr>
                <w:sz w:val="18"/>
                <w:szCs w:val="18"/>
                <w:color w:val="auto"/>
              </w:rPr>
            </w:pPr>
          </w:p>
        </w:tc>
        <w:tc>
          <w:tcPr>
            <w:tcW w:w="2180" w:type="dxa"/>
            <w:vAlign w:val="bottom"/>
          </w:tcPr>
          <w:p>
            <w:pPr>
              <w:ind w:left="1400"/>
              <w:spacing w:after="0"/>
              <w:rPr>
                <w:sz w:val="20"/>
                <w:szCs w:val="20"/>
                <w:color w:val="auto"/>
              </w:rPr>
            </w:pPr>
            <w:r>
              <w:rPr>
                <w:rFonts w:ascii="Arial" w:cs="Arial" w:eastAsia="Arial" w:hAnsi="Arial"/>
                <w:sz w:val="16"/>
                <w:szCs w:val="16"/>
                <w:color w:val="auto"/>
              </w:rPr>
              <w:t>Name:</w:t>
            </w:r>
          </w:p>
        </w:tc>
        <w:tc>
          <w:tcPr>
            <w:tcW w:w="5480" w:type="dxa"/>
            <w:vAlign w:val="bottom"/>
          </w:tcPr>
          <w:p>
            <w:pPr>
              <w:ind w:left="20"/>
              <w:spacing w:after="0"/>
              <w:rPr>
                <w:sz w:val="20"/>
                <w:szCs w:val="20"/>
                <w:color w:val="auto"/>
              </w:rPr>
            </w:pPr>
            <w:r>
              <w:rPr>
                <w:rFonts w:ascii="Arial" w:cs="Arial" w:eastAsia="Arial" w:hAnsi="Arial"/>
                <w:sz w:val="16"/>
                <w:szCs w:val="16"/>
                <w:color w:val="auto"/>
              </w:rPr>
              <w:t>Ed Walker</w:t>
            </w:r>
          </w:p>
        </w:tc>
      </w:tr>
      <w:tr>
        <w:trPr>
          <w:trHeight w:val="215"/>
        </w:trPr>
        <w:tc>
          <w:tcPr>
            <w:tcW w:w="2820" w:type="dxa"/>
            <w:vAlign w:val="bottom"/>
          </w:tcPr>
          <w:p>
            <w:pPr>
              <w:spacing w:after="0"/>
              <w:rPr>
                <w:sz w:val="18"/>
                <w:szCs w:val="18"/>
                <w:color w:val="auto"/>
              </w:rPr>
            </w:pPr>
          </w:p>
        </w:tc>
        <w:tc>
          <w:tcPr>
            <w:tcW w:w="2180" w:type="dxa"/>
            <w:vAlign w:val="bottom"/>
          </w:tcPr>
          <w:p>
            <w:pPr>
              <w:ind w:left="1400"/>
              <w:spacing w:after="0"/>
              <w:rPr>
                <w:sz w:val="20"/>
                <w:szCs w:val="20"/>
                <w:color w:val="auto"/>
              </w:rPr>
            </w:pPr>
            <w:r>
              <w:rPr>
                <w:rFonts w:ascii="Arial" w:cs="Arial" w:eastAsia="Arial" w:hAnsi="Arial"/>
                <w:sz w:val="16"/>
                <w:szCs w:val="16"/>
                <w:color w:val="auto"/>
              </w:rPr>
              <w:t>Title:</w:t>
            </w:r>
          </w:p>
        </w:tc>
        <w:tc>
          <w:tcPr>
            <w:tcW w:w="5480" w:type="dxa"/>
            <w:vAlign w:val="bottom"/>
          </w:tcPr>
          <w:p>
            <w:pPr>
              <w:ind w:left="20"/>
              <w:spacing w:after="0"/>
              <w:rPr>
                <w:sz w:val="20"/>
                <w:szCs w:val="20"/>
                <w:color w:val="auto"/>
              </w:rPr>
            </w:pPr>
            <w:r>
              <w:rPr>
                <w:rFonts w:ascii="Arial" w:cs="Arial" w:eastAsia="Arial" w:hAnsi="Arial"/>
                <w:sz w:val="16"/>
                <w:szCs w:val="16"/>
                <w:color w:val="auto"/>
              </w:rPr>
              <w:t>Chief Financial Officer</w:t>
            </w:r>
          </w:p>
        </w:tc>
      </w:tr>
    </w:tbl>
    <w:p>
      <w:pPr>
        <w:spacing w:after="0" w:line="1" w:lineRule="exact"/>
        <w:rPr>
          <w:sz w:val="20"/>
          <w:szCs w:val="20"/>
          <w:color w:val="auto"/>
        </w:rPr>
      </w:pPr>
    </w:p>
    <w:sectPr>
      <w:pgSz w:w="11900" w:h="16838" w:orient="portrait"/>
      <w:cols w:equalWidth="0" w:num="1">
        <w:col w:w="10500"/>
      </w:cols>
      <w:pgMar w:left="320" w:top="935" w:right="10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lvl w:ilvl="1">
      <w:lvlJc w:val="left"/>
      <w:lvlText w:val="•"/>
      <w:numFmt w:val="bullet"/>
      <w:start w:val="1"/>
    </w:lvl>
    <w:lvl w:ilvl="2">
      <w:lvlJc w:val="left"/>
      <w:lvlText w:val="\endash "/>
      <w:numFmt w:val="bullet"/>
      <w:start w:val="1"/>
    </w:lvl>
  </w:abstractNum>
  <w:abstractNum w:abstractNumId="4">
    <w:nsid w:val="4DB127F8"/>
    <w:multiLevelType w:val="hybridMultilevel"/>
    <w:lvl w:ilvl="0">
      <w:lvlJc w:val="left"/>
      <w:lvlText w:val="•"/>
      <w:numFmt w:val="bullet"/>
      <w:start w:val="1"/>
    </w:lvl>
    <w:lvl w:ilvl="1">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2026-04-28T06:46:53Z</dcterms:created>
  <dcterms:modified xsi:type="dcterms:W3CDTF">2026-04-28T06:46:53Z</dcterms:modified>
</cp:coreProperties>
</file>